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36DD5" w14:textId="2073F455" w:rsidR="001E42E6" w:rsidRDefault="001E42E6" w:rsidP="001E42E6">
      <w:pPr>
        <w:jc w:val="center"/>
        <w:rPr>
          <w:b/>
          <w:bCs/>
          <w:i/>
          <w:sz w:val="20"/>
          <w:szCs w:val="20"/>
          <w:u w:val="single"/>
        </w:rPr>
      </w:pPr>
      <w:bookmarkStart w:id="0" w:name="_GoBack"/>
      <w:bookmarkEnd w:id="0"/>
      <w:r>
        <w:rPr>
          <w:b/>
          <w:bCs/>
          <w:i/>
          <w:sz w:val="20"/>
          <w:szCs w:val="20"/>
          <w:u w:val="single"/>
        </w:rPr>
        <w:t>SEGUNDO CUATRIMESTRE SEGUIMIENTO PLAN TRATAMIENTO DE RIESGOS DE SEGURIDADY PRIVACIDAD DE LA INFORMACIÓN</w:t>
      </w:r>
    </w:p>
    <w:tbl>
      <w:tblPr>
        <w:tblStyle w:val="Tablaconcuadrcula"/>
        <w:tblW w:w="13994" w:type="dxa"/>
        <w:tblInd w:w="-998" w:type="dxa"/>
        <w:tblLook w:val="04A0" w:firstRow="1" w:lastRow="0" w:firstColumn="1" w:lastColumn="0" w:noHBand="0" w:noVBand="1"/>
      </w:tblPr>
      <w:tblGrid>
        <w:gridCol w:w="3133"/>
        <w:gridCol w:w="3956"/>
        <w:gridCol w:w="3543"/>
        <w:gridCol w:w="3362"/>
      </w:tblGrid>
      <w:tr w:rsidR="004A1ACC" w:rsidRPr="00377401" w14:paraId="595B46D7" w14:textId="230A9C10" w:rsidTr="001D417B">
        <w:trPr>
          <w:tblHeader/>
        </w:trPr>
        <w:tc>
          <w:tcPr>
            <w:tcW w:w="3133" w:type="dxa"/>
            <w:shd w:val="clear" w:color="auto" w:fill="9CC2E5" w:themeFill="accent1" w:themeFillTint="99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956" w:type="dxa"/>
            <w:shd w:val="clear" w:color="auto" w:fill="FFD966" w:themeFill="accent4" w:themeFillTint="99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543" w:type="dxa"/>
            <w:shd w:val="clear" w:color="auto" w:fill="FFD966" w:themeFill="accent4" w:themeFillTint="99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3362" w:type="dxa"/>
            <w:shd w:val="clear" w:color="auto" w:fill="A8D08D" w:themeFill="accent6" w:themeFillTint="99"/>
          </w:tcPr>
          <w:p w14:paraId="6911C3F0" w14:textId="2C7CB39B" w:rsidR="004A1ACC" w:rsidRPr="00377401" w:rsidRDefault="001E42E6" w:rsidP="0040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SEGUNDO CUATRIMESTRE 2020</w:t>
            </w:r>
          </w:p>
        </w:tc>
      </w:tr>
      <w:tr w:rsidR="004A1ACC" w:rsidRPr="00377401" w14:paraId="0275B2D8" w14:textId="6996BBE1" w:rsidTr="00422757">
        <w:tc>
          <w:tcPr>
            <w:tcW w:w="313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gram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ROUTER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60010E68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  <w:tc>
          <w:tcPr>
            <w:tcW w:w="3956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3362" w:type="dxa"/>
          </w:tcPr>
          <w:p w14:paraId="40932DF6" w14:textId="376162F9" w:rsidR="004A1ACC" w:rsidRDefault="001E42E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Continuidad a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plicación de 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59C30BAB" w:rsidR="00B6089A" w:rsidRDefault="00F9248E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Ejecución del contrato de CONECTIVIDAD  No.049-2020 a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ctualmente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partir del 1 de abril de 2020, 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IFX NETWORKS.</w:t>
            </w:r>
          </w:p>
          <w:p w14:paraId="2D4EFEEE" w14:textId="77777777" w:rsidR="00BF4F37" w:rsidRDefault="00BF4F3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88EB72" w14:textId="0E8E8BAE" w:rsidR="00422757" w:rsidRDefault="00BF4F3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Continúa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verifica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ción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RED LAN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proofErr w:type="spellStart"/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switches</w:t>
            </w:r>
            <w:proofErr w:type="spellEnd"/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58676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también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(ubicación del INCI), 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también regulada</w:t>
            </w:r>
            <w:r w:rsidR="007C15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UPS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423D97FC" w14:textId="77777777" w:rsidR="00837883" w:rsidRDefault="00837883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B7ACC97" w14:textId="0586D10E" w:rsidR="005C393C" w:rsidRPr="00C31B39" w:rsidRDefault="00402A22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juni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se aprueba contrato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066-2020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 y soporte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equipos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</w:t>
            </w:r>
          </w:p>
          <w:p w14:paraId="56B2A3F1" w14:textId="23C7E052" w:rsidR="00C31B39" w:rsidRPr="00377401" w:rsidRDefault="00C31B39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4A1ACC" w:rsidRPr="00377401" w14:paraId="055A8FC7" w14:textId="1E484266" w:rsidTr="00D10219">
        <w:trPr>
          <w:trHeight w:val="508"/>
        </w:trPr>
        <w:tc>
          <w:tcPr>
            <w:tcW w:w="313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956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eléctrico regulado –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UPS´s</w:t>
            </w:r>
            <w:proofErr w:type="spellEnd"/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un sistema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Backup´s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ercerizar</w:t>
            </w:r>
            <w:proofErr w:type="spellEnd"/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14:paraId="66F8860C" w14:textId="52EF96A6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documentación técnica.</w:t>
            </w:r>
          </w:p>
        </w:tc>
        <w:tc>
          <w:tcPr>
            <w:tcW w:w="3543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Fallo en el Fluido eléctrico regulado por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3362" w:type="dxa"/>
          </w:tcPr>
          <w:p w14:paraId="4AC38483" w14:textId="0CCEB413" w:rsidR="00755AD8" w:rsidRPr="00377401" w:rsidRDefault="00BF4F3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Continua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ejecución de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los contratos 035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e</w:t>
            </w:r>
            <w:r w:rsidR="008E3AF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-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037 Ing. Pablo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(página web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67AFF24F" w:rsidR="007F5387" w:rsidRPr="00377401" w:rsidRDefault="00BF4F3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Continua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r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evisión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permanente del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funciona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miento de servidores,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especialmente desde marzo 20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año 2020,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restricción movilidad causada en la emergencia sanitaria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Además, por las eventualidades de corte inesperado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565CD582" w:rsidR="00454CE8" w:rsidRPr="00377401" w:rsidRDefault="00BF4F3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Continua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r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ecepción y aplicación de</w:t>
            </w:r>
            <w:r w:rsidR="00E9185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Políticas,  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lineamientos y mecanismos de </w:t>
            </w:r>
            <w:proofErr w:type="spellStart"/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454CE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422757">
        <w:tc>
          <w:tcPr>
            <w:tcW w:w="313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Falla de equipos electrónicos y 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3543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3362" w:type="dxa"/>
          </w:tcPr>
          <w:p w14:paraId="22DCCD14" w14:textId="7752AB78" w:rsidR="00A03751" w:rsidRPr="00377401" w:rsidRDefault="00BF4F37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Continuidad a</w:t>
            </w:r>
            <w:r w:rsidR="00A03751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plicación de la Política de seguridad de la información Resolución </w:t>
            </w:r>
            <w:r w:rsidR="00A03751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0C324E7" w14:textId="5AFE3F7B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8337BA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vió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</w:t>
            </w:r>
            <w:r w:rsidR="00BF4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Oficina J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urídica los estudios previos, del mercado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las cotizaciones 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45213CFD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D3C624" w14:textId="6E07B78F" w:rsidR="00B931CE" w:rsidRDefault="00B90AE1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AA5760">
              <w:rPr>
                <w:rFonts w:ascii="Arial" w:hAnsi="Arial" w:cs="Arial"/>
                <w:sz w:val="16"/>
                <w:szCs w:val="16"/>
              </w:rPr>
              <w:t>continúa</w:t>
            </w:r>
            <w:r w:rsidR="00BF4F3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verifi</w:t>
            </w:r>
            <w:r w:rsidR="00AA5760">
              <w:rPr>
                <w:rFonts w:ascii="Arial" w:hAnsi="Arial" w:cs="Arial"/>
                <w:sz w:val="16"/>
                <w:szCs w:val="16"/>
              </w:rPr>
              <w:t>ca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BF4F3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ó</w:t>
            </w:r>
            <w:r w:rsidR="00BF4F37">
              <w:rPr>
                <w:rFonts w:ascii="Arial" w:hAnsi="Arial" w:cs="Arial"/>
                <w:sz w:val="16"/>
                <w:szCs w:val="16"/>
              </w:rPr>
              <w:t>n</w:t>
            </w:r>
            <w:r w:rsidR="00970ADA">
              <w:rPr>
                <w:rFonts w:ascii="Arial" w:hAnsi="Arial" w:cs="Arial"/>
                <w:sz w:val="16"/>
                <w:szCs w:val="16"/>
              </w:rPr>
              <w:t xml:space="preserve"> en el INCI</w:t>
            </w:r>
            <w:r>
              <w:rPr>
                <w:rFonts w:ascii="Arial" w:hAnsi="Arial" w:cs="Arial"/>
                <w:sz w:val="16"/>
                <w:szCs w:val="16"/>
              </w:rPr>
              <w:t xml:space="preserve">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970AD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97A894" w14:textId="77777777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2B1ED1" w14:textId="17C2A990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brindó </w:t>
            </w:r>
            <w:r>
              <w:rPr>
                <w:rFonts w:ascii="Arial" w:hAnsi="Arial" w:cs="Arial"/>
                <w:sz w:val="16"/>
                <w:szCs w:val="16"/>
              </w:rPr>
              <w:t>asiste</w:t>
            </w:r>
            <w:r w:rsidR="00AA5760">
              <w:rPr>
                <w:rFonts w:ascii="Arial" w:hAnsi="Arial" w:cs="Arial"/>
                <w:sz w:val="16"/>
                <w:szCs w:val="16"/>
              </w:rPr>
              <w:t>ncia</w:t>
            </w:r>
            <w:r>
              <w:rPr>
                <w:rFonts w:ascii="Arial" w:hAnsi="Arial" w:cs="Arial"/>
                <w:sz w:val="16"/>
                <w:szCs w:val="16"/>
              </w:rPr>
              <w:t xml:space="preserve"> verifica</w:t>
            </w:r>
            <w:r w:rsidR="0023315F">
              <w:rPr>
                <w:rFonts w:ascii="Arial" w:hAnsi="Arial" w:cs="Arial"/>
                <w:sz w:val="16"/>
                <w:szCs w:val="16"/>
              </w:rPr>
              <w:t>ndo</w:t>
            </w:r>
            <w:r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23315F">
              <w:rPr>
                <w:rFonts w:ascii="Arial" w:hAnsi="Arial" w:cs="Arial"/>
                <w:sz w:val="16"/>
                <w:szCs w:val="16"/>
              </w:rPr>
              <w:t>l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funcionamiento correcto del aplicativo</w:t>
            </w:r>
            <w:r w:rsidR="00F25BCA">
              <w:rPr>
                <w:rFonts w:ascii="Arial" w:hAnsi="Arial" w:cs="Arial"/>
                <w:sz w:val="16"/>
                <w:szCs w:val="16"/>
              </w:rPr>
              <w:t xml:space="preserve"> control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ingreso y salida al INCI, </w:t>
            </w:r>
            <w:r w:rsidR="00F25BCA">
              <w:rPr>
                <w:rFonts w:ascii="Arial" w:hAnsi="Arial" w:cs="Arial"/>
                <w:sz w:val="16"/>
                <w:szCs w:val="16"/>
              </w:rPr>
              <w:t>así</w:t>
            </w:r>
            <w:r w:rsidR="00AA5760">
              <w:rPr>
                <w:rFonts w:ascii="Arial" w:hAnsi="Arial" w:cs="Arial"/>
                <w:sz w:val="16"/>
                <w:szCs w:val="16"/>
              </w:rPr>
              <w:t xml:space="preserve"> como del m</w:t>
            </w:r>
            <w:r>
              <w:rPr>
                <w:rFonts w:ascii="Arial" w:hAnsi="Arial" w:cs="Arial"/>
                <w:sz w:val="16"/>
                <w:szCs w:val="16"/>
              </w:rPr>
              <w:t xml:space="preserve">olinete por </w:t>
            </w:r>
            <w:r w:rsidR="00F25BCA">
              <w:rPr>
                <w:rFonts w:ascii="Arial" w:hAnsi="Arial" w:cs="Arial"/>
                <w:sz w:val="16"/>
                <w:szCs w:val="16"/>
              </w:rPr>
              <w:t>necesidad de remplazo de u</w:t>
            </w:r>
            <w:r>
              <w:rPr>
                <w:rFonts w:ascii="Arial" w:hAnsi="Arial" w:cs="Arial"/>
                <w:sz w:val="16"/>
                <w:szCs w:val="16"/>
              </w:rPr>
              <w:t>no de sus adaptadores eléctricos</w:t>
            </w:r>
            <w:r w:rsidR="00F25BC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D7E9B1" w14:textId="10B9DB83" w:rsidR="003F018E" w:rsidRPr="00377401" w:rsidRDefault="003F018E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128348B9" w14:textId="2C2D09F0" w:rsidTr="00422757">
        <w:tc>
          <w:tcPr>
            <w:tcW w:w="3133" w:type="dxa"/>
          </w:tcPr>
          <w:p w14:paraId="18923C6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90F88">
              <w:rPr>
                <w:rFonts w:ascii="Arial" w:hAnsi="Arial" w:cs="Arial"/>
                <w:sz w:val="16"/>
                <w:szCs w:val="16"/>
              </w:rPr>
              <w:t>Baterias</w:t>
            </w:r>
            <w:proofErr w:type="spellEnd"/>
            <w:r w:rsidR="00F90F88">
              <w:rPr>
                <w:rFonts w:ascii="Arial" w:hAnsi="Arial" w:cs="Arial"/>
                <w:sz w:val="16"/>
                <w:szCs w:val="16"/>
              </w:rPr>
              <w:t>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</w:tcPr>
          <w:p w14:paraId="6024A379" w14:textId="3EE4E78F" w:rsidR="002A6083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Las UPS actualmente instaladas tienen la capacidad suficiente y cumplen con los requisitos de la red 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eléctrica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regulada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brindar el respaldo en eventos de fallas eléctricas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CE3252B" w14:textId="598179FC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(GND)  instalada y certificada para el INCI en el edificio Administrativo en el </w:t>
            </w:r>
            <w:r w:rsidR="0023315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sótano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EE1878B" w14:textId="21EFC25F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59BAC588" w14:textId="44F4812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5545CA94" w14:textId="77777777" w:rsidR="00D10D1C" w:rsidRDefault="00D10D1C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E2FF79" w14:textId="5731A5F1" w:rsidR="004A1ACC" w:rsidRPr="00377401" w:rsidRDefault="00D10D1C" w:rsidP="002331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verifican las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se hace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detecccion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aquellas que están en fallo en el mes de Agosto y hacen recomendaciones de solución a la OAP. </w:t>
            </w:r>
          </w:p>
        </w:tc>
      </w:tr>
      <w:tr w:rsidR="004A1ACC" w:rsidRPr="00377401" w14:paraId="4447DE93" w14:textId="5D6FA324" w:rsidTr="00422757">
        <w:tc>
          <w:tcPr>
            <w:tcW w:w="3133" w:type="dxa"/>
          </w:tcPr>
          <w:p w14:paraId="518994F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543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62A1D572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Telefonia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>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3362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Se tiene un equipo que actúa como un Servidor de contingencia para este servicio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40AA65CF" w:rsidR="004A1ACC" w:rsidRDefault="00BA0581" w:rsidP="002331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23315F">
              <w:rPr>
                <w:rFonts w:ascii="Arial" w:hAnsi="Arial" w:cs="Arial"/>
                <w:sz w:val="16"/>
                <w:szCs w:val="16"/>
              </w:rPr>
              <w:t xml:space="preserve">continúa </w:t>
            </w:r>
            <w:r>
              <w:rPr>
                <w:rFonts w:ascii="Arial" w:hAnsi="Arial" w:cs="Arial"/>
                <w:sz w:val="16"/>
                <w:szCs w:val="16"/>
              </w:rPr>
              <w:t>realiza</w:t>
            </w:r>
            <w:r w:rsidR="0023315F">
              <w:rPr>
                <w:rFonts w:ascii="Arial" w:hAnsi="Arial" w:cs="Arial"/>
                <w:sz w:val="16"/>
                <w:szCs w:val="16"/>
              </w:rPr>
              <w:t>ndo</w:t>
            </w:r>
            <w:r>
              <w:rPr>
                <w:rFonts w:ascii="Arial" w:hAnsi="Arial" w:cs="Arial"/>
                <w:sz w:val="16"/>
                <w:szCs w:val="16"/>
              </w:rPr>
              <w:t xml:space="preserve"> pruebas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 verificación de la funcionalidad de la línea telefónica PBX 3846666, así como el paso de comunicaciones a la red de extensiones autorizadas y asignadas a los servidores públicos respectivos.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21A25" w14:textId="4BC9B8FF" w:rsidR="00A44CC4" w:rsidRDefault="00A44CC4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julio se aprueba contrato No. 069-2020, para el soporte de Telefonía IP del INCI.</w:t>
            </w:r>
          </w:p>
          <w:p w14:paraId="1ED28248" w14:textId="75865319" w:rsidR="00756F15" w:rsidRPr="00377401" w:rsidRDefault="00756F15" w:rsidP="004C3D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422757">
        <w:tc>
          <w:tcPr>
            <w:tcW w:w="313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de  Datos por una mala instalación y/o cortos presentados en esta. </w:t>
            </w:r>
          </w:p>
        </w:tc>
        <w:tc>
          <w:tcPr>
            <w:tcW w:w="3956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los  Centros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543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3362" w:type="dxa"/>
          </w:tcPr>
          <w:p w14:paraId="1AE5FB9D" w14:textId="6C8D77E2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sede Principal y la Imprenta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del tipo de cable CAT 6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="00F8476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puntos de conexión,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estos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1B54F44C" w:rsidR="00756F15" w:rsidRPr="0090006E" w:rsidRDefault="0023315F" w:rsidP="0023315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Cuando se presente nuevamente la intervenció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 en la red, producto de modernización locativa,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procederá a 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los puntos ajustados, el </w:t>
            </w:r>
            <w:proofErr w:type="spellStart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correcto y su efectivo funcionamiento</w:t>
            </w:r>
            <w:r w:rsidR="00974F9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6AEE183F" w14:textId="3149D2A6" w:rsidTr="00422757">
        <w:tc>
          <w:tcPr>
            <w:tcW w:w="3133" w:type="dxa"/>
          </w:tcPr>
          <w:p w14:paraId="2009003E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3956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3362" w:type="dxa"/>
          </w:tcPr>
          <w:p w14:paraId="645A420C" w14:textId="43B63A49" w:rsidR="00024B3A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revisó y se aseguró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Hosting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que brinda </w:t>
            </w:r>
            <w:r w:rsidR="008E4ED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IFX Networks, de acuerdo al contrato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057</w:t>
            </w:r>
            <w:r w:rsidR="008E4ED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-2020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21438E35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ejecuta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aplicaciones biblioteca, INCI Radio, INCI Digital y e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learning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5885D4DA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continua la verificació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acceso a los usuarios inscritos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422757">
        <w:trPr>
          <w:trHeight w:val="2890"/>
        </w:trPr>
        <w:tc>
          <w:tcPr>
            <w:tcW w:w="3133" w:type="dxa"/>
          </w:tcPr>
          <w:p w14:paraId="4B2514DC" w14:textId="3D43AE53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956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543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</w:t>
            </w:r>
            <w:proofErr w:type="gramStart"/>
            <w:r w:rsidR="00EE3E0A">
              <w:rPr>
                <w:rFonts w:ascii="Arial" w:hAnsi="Arial" w:cs="Arial"/>
                <w:sz w:val="16"/>
                <w:szCs w:val="16"/>
              </w:rPr>
              <w:t>INCI ,</w:t>
            </w:r>
            <w:proofErr w:type="gramEnd"/>
            <w:r w:rsidR="00EE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3362" w:type="dxa"/>
          </w:tcPr>
          <w:p w14:paraId="45B09155" w14:textId="5E7A2809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</w:t>
            </w:r>
            <w:r>
              <w:rPr>
                <w:rFonts w:ascii="Arial" w:hAnsi="Arial" w:cs="Arial"/>
                <w:sz w:val="16"/>
                <w:szCs w:val="16"/>
              </w:rPr>
              <w:t>realizan</w:t>
            </w:r>
            <w:r w:rsidR="00DC12F8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 las copias de respaldo de acuerdo a las obligaciones del contrato 0</w:t>
            </w:r>
            <w:r w:rsidR="00DC12F8">
              <w:rPr>
                <w:rFonts w:ascii="Arial" w:hAnsi="Arial" w:cs="Arial"/>
                <w:sz w:val="16"/>
                <w:szCs w:val="16"/>
              </w:rPr>
              <w:t>57</w:t>
            </w:r>
            <w:r>
              <w:rPr>
                <w:rFonts w:ascii="Arial" w:hAnsi="Arial" w:cs="Arial"/>
                <w:sz w:val="16"/>
                <w:szCs w:val="16"/>
              </w:rPr>
              <w:t>/20</w:t>
            </w:r>
            <w:r w:rsidR="00DC12F8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con IFX Networks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en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mes de 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Agosto  se hace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dición a este contrato,  teniendo en cuenta necesidades de Conectividad para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Hosting y Sistema de Copias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01163F24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558BB891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DC12F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encuentra en ejecución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/2020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Ing. Pablo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9A655C2" w14:textId="0BF633BC" w:rsidR="004A1ACC" w:rsidRPr="00C627A8" w:rsidRDefault="00A32EC6" w:rsidP="00B401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DC12F8">
              <w:rPr>
                <w:rFonts w:ascii="Arial" w:hAnsi="Arial" w:cs="Arial"/>
                <w:sz w:val="16"/>
                <w:szCs w:val="16"/>
              </w:rPr>
              <w:t xml:space="preserve">continúan las actividades </w:t>
            </w:r>
            <w:r w:rsidR="00B4010B">
              <w:rPr>
                <w:rFonts w:ascii="Arial" w:hAnsi="Arial" w:cs="Arial"/>
                <w:sz w:val="16"/>
                <w:szCs w:val="16"/>
              </w:rPr>
              <w:t>de la actualización de contenidos web - transparencia por parte de la Of. Planeación-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010B">
              <w:rPr>
                <w:rFonts w:ascii="Arial" w:hAnsi="Arial" w:cs="Arial"/>
                <w:sz w:val="16"/>
                <w:szCs w:val="16"/>
              </w:rPr>
              <w:t xml:space="preserve">y demás sitios por parte del </w:t>
            </w:r>
            <w:r>
              <w:rPr>
                <w:rFonts w:ascii="Arial" w:hAnsi="Arial" w:cs="Arial"/>
                <w:sz w:val="16"/>
                <w:szCs w:val="16"/>
              </w:rPr>
              <w:t xml:space="preserve"> Proceso de </w:t>
            </w:r>
            <w:r w:rsidR="00B4010B">
              <w:rPr>
                <w:rFonts w:ascii="Arial" w:hAnsi="Arial" w:cs="Arial"/>
                <w:sz w:val="16"/>
                <w:szCs w:val="16"/>
              </w:rPr>
              <w:t>Comunicaciones</w:t>
            </w:r>
            <w:r w:rsidR="006327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A1ACC" w:rsidRPr="00377401" w14:paraId="1817235E" w14:textId="4D34B2F1" w:rsidTr="00422757">
        <w:tc>
          <w:tcPr>
            <w:tcW w:w="3133" w:type="dxa"/>
          </w:tcPr>
          <w:p w14:paraId="2B8D1B73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956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543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3362" w:type="dxa"/>
          </w:tcPr>
          <w:p w14:paraId="75846B1E" w14:textId="5B44B65A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realizando la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</w:t>
            </w:r>
            <w:proofErr w:type="spellStart"/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="00B4010B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Policial, dirigidos a la reducción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probab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ataques informáticos, por </w:t>
            </w:r>
            <w:r w:rsidR="00B4010B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hackers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14529541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actualizó el aplicativo antivirus </w:t>
            </w:r>
            <w:proofErr w:type="spellStart"/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Sophos</w:t>
            </w:r>
            <w:proofErr w:type="spellEnd"/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mediante contrato 071-2020, necesario para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reduc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ir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probabilidad de ingreso de virus informático (vía correo electrónico, descargas arc</w:t>
            </w:r>
            <w:r w:rsidR="008372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hivos o instalación de USB)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.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19918EB5" w:rsidR="004A1ACC" w:rsidRPr="00D0652F" w:rsidRDefault="00837226" w:rsidP="008372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el m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anejo eficiente de herramientas de seguridad perimetral Firewall y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Políticas</w:t>
            </w:r>
            <w:r w:rsidR="0072581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Servicio del Directorio Activo con Políticas definidas para su uso. Herramienta Antivirus vigente y con Políticas Definidas.</w:t>
            </w:r>
          </w:p>
        </w:tc>
      </w:tr>
      <w:tr w:rsidR="004A1ACC" w:rsidRPr="00377401" w14:paraId="02BAB93D" w14:textId="137BF4F6" w:rsidTr="00422757">
        <w:tc>
          <w:tcPr>
            <w:tcW w:w="313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Propagación de programas o rutinas dañinas que afecten los sistemas informáticos.</w:t>
            </w:r>
          </w:p>
        </w:tc>
        <w:tc>
          <w:tcPr>
            <w:tcW w:w="3362" w:type="dxa"/>
          </w:tcPr>
          <w:p w14:paraId="510E5F1D" w14:textId="4D82A51A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vig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Sophos</w:t>
            </w:r>
            <w:proofErr w:type="spellEnd"/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Nube,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hasta 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vigencia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2021</w:t>
            </w:r>
            <w:r w:rsidR="00FF492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</w:t>
            </w:r>
            <w:proofErr w:type="spellStart"/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Clusters</w:t>
            </w:r>
            <w:proofErr w:type="spellEnd"/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Servicios </w:t>
            </w:r>
            <w:r w:rsidR="00FF492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contrato No. 071-2020</w:t>
            </w:r>
            <w:r w:rsidR="009820D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cual se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ó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definidas para su uso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5A05FB61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 de 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aplicativo Orfeo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WEBSAFI entre otros.</w:t>
            </w:r>
          </w:p>
          <w:p w14:paraId="15713EE3" w14:textId="0C4415B3" w:rsidR="004A1ACC" w:rsidRPr="009357AA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422757">
        <w:tc>
          <w:tcPr>
            <w:tcW w:w="313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Fallas del manejo de claves de acceso y 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6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543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3362" w:type="dxa"/>
          </w:tcPr>
          <w:p w14:paraId="1FBA36F5" w14:textId="275B00F8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realiza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 forma presencial o remota,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 Directorio Activo (AD)</w:t>
            </w:r>
            <w:r w:rsidR="00E82D5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69C72525" w:rsidR="00153E95" w:rsidRDefault="00E82D5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cuenta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dos (2) servidores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(MV)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uno respalda al otro en caso de fallo y a diario se están revisando en su funcionamiento, actualizaciones y otras que se requieran para tenerlos funcionales institucionalmente.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0B2FAF28" w:rsidR="00AE5B83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E82D5A">
              <w:rPr>
                <w:rFonts w:ascii="Arial" w:hAnsi="Arial" w:cs="Arial"/>
                <w:sz w:val="16"/>
                <w:szCs w:val="16"/>
              </w:rPr>
              <w:t xml:space="preserve">continúa </w:t>
            </w: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="00CD4120">
              <w:rPr>
                <w:rFonts w:ascii="Arial" w:hAnsi="Arial" w:cs="Arial"/>
                <w:sz w:val="16"/>
                <w:szCs w:val="16"/>
              </w:rPr>
              <w:t>aliza</w:t>
            </w:r>
            <w:r w:rsidR="00E82D5A">
              <w:rPr>
                <w:rFonts w:ascii="Arial" w:hAnsi="Arial" w:cs="Arial"/>
                <w:sz w:val="16"/>
                <w:szCs w:val="16"/>
              </w:rPr>
              <w:t>ndo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 copia de seguridad de estas dos máquinas virtuales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cada mes.</w:t>
            </w:r>
          </w:p>
          <w:p w14:paraId="1543C7A8" w14:textId="77777777" w:rsidR="00CD4120" w:rsidRPr="00185D46" w:rsidRDefault="00CD4120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DEFD2" w14:textId="5AC64608" w:rsidR="004A1ACC" w:rsidRPr="00377401" w:rsidRDefault="00AB7348" w:rsidP="00812BB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junio queda el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contrato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064-2020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soporte 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del Directorio Activo 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 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MCE N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et</w:t>
            </w:r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spellStart"/>
            <w:r w:rsidR="00812BB2" w:rsidRP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</w:t>
            </w:r>
            <w:r w:rsidR="00812B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olutions</w:t>
            </w:r>
            <w:proofErr w:type="spellEnd"/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</w:tr>
      <w:tr w:rsidR="004A1ACC" w:rsidRPr="00377401" w14:paraId="2070E028" w14:textId="1AA5FEFE" w:rsidTr="00422757">
        <w:tc>
          <w:tcPr>
            <w:tcW w:w="313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Deficiencias en el control de ingreso no autorizados a los Centros de Datos y/o equipos de red, ubicados en diferentes sitios a este y que carecen de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seguridad, lo que pueden ser manipulables por cualquiera.</w:t>
            </w:r>
          </w:p>
        </w:tc>
        <w:tc>
          <w:tcPr>
            <w:tcW w:w="3543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6D34167C" w14:textId="1AD3F7AD" w:rsidR="00C27F4D" w:rsidRPr="00377401" w:rsidRDefault="00C27F4D" w:rsidP="00D74B48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 </w:t>
            </w:r>
            <w:r w:rsidR="006B5CB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continúa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realiza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ndo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ingreso a los centros de datos con la clave 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asignada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los Ingenieros de Sistemas, adscritos a la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Oficina </w:t>
            </w:r>
            <w:r w:rsidR="00D74B4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Asesora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Planeación y vinculados a la planta de empleos del INCI.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</w:tr>
      <w:tr w:rsidR="004A1ACC" w:rsidRPr="00377401" w14:paraId="12C99485" w14:textId="024F8671" w:rsidTr="00DE1A85">
        <w:trPr>
          <w:trHeight w:val="3814"/>
        </w:trPr>
        <w:tc>
          <w:tcPr>
            <w:tcW w:w="313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956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spellStart"/>
            <w:r w:rsidR="004A1ACC" w:rsidRPr="00377401">
              <w:rPr>
                <w:rFonts w:ascii="Arial" w:hAnsi="Arial" w:cs="Arial"/>
                <w:sz w:val="16"/>
                <w:szCs w:val="16"/>
              </w:rPr>
              <w:t>Inci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</w:t>
            </w:r>
            <w:proofErr w:type="spellStart"/>
            <w:r w:rsidR="00953473">
              <w:rPr>
                <w:rFonts w:ascii="Arial" w:hAnsi="Arial" w:cs="Arial"/>
                <w:sz w:val="16"/>
                <w:szCs w:val="16"/>
              </w:rPr>
              <w:t>idoneo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36B00F3F" w14:textId="6177F031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03703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cuenta 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sistema de seguridad interna liderado por el Grupo de Gestión Humana y de la Información, quienes están encargados del SGSST, y llevan a cabo jornadas de prevención a desastres.</w:t>
            </w:r>
          </w:p>
          <w:p w14:paraId="0D61789D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8664D5A" w14:textId="7076C879" w:rsidR="008E75CB" w:rsidRDefault="008E75CB" w:rsidP="008E75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20161010000683 del 16/03/2016.</w:t>
            </w:r>
          </w:p>
          <w:p w14:paraId="6F5CDBB9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4B0579A" w14:textId="3E2B1D05" w:rsidR="004A1ACC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continúan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realizan</w:t>
            </w:r>
            <w:r w:rsidR="00AB6F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 donde se aloja la información institucional en repositorios en la nube, para enfrentar posibles pérdidas de información </w:t>
            </w:r>
          </w:p>
          <w:p w14:paraId="0C1D9D0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1D75C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03C062B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9C5864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9BCFF9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A5839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422757">
        <w:tc>
          <w:tcPr>
            <w:tcW w:w="3133" w:type="dxa"/>
          </w:tcPr>
          <w:p w14:paraId="427C6588" w14:textId="4EDD8AF7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0D794DF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3362" w:type="dxa"/>
          </w:tcPr>
          <w:p w14:paraId="3F8B7DE7" w14:textId="3D90EA08" w:rsidR="008A0270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</w:t>
            </w:r>
            <w:proofErr w:type="spellStart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Fortinet</w:t>
            </w:r>
            <w:proofErr w:type="spellEnd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Fortigate</w:t>
            </w:r>
            <w:proofErr w:type="spellEnd"/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6CA6B15A" w:rsidR="00197120" w:rsidRDefault="00831E8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Actualmente el INCI tiene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F12B6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MASTER y otro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ESCLAVO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63062DD0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Diariamente se ingresa a estos para revisar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su estado y actividad de funcionamiento.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6BF187DA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continua con el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diagnostic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acerca 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85BF285" w14:textId="569D2E0C" w:rsidR="00CD6CB9" w:rsidRDefault="00AB734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junio queda 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con </w:t>
            </w:r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COINSA SAS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el contrato 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No. 062-2020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del Licenciamiento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activación y puesta en marcha de estas para los Firewall por un año hasta el 2021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26C254F6" w14:textId="77777777" w:rsidR="00CD6CB9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807584" w14:textId="5432FE19" w:rsidR="002D2109" w:rsidRPr="00377401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junio queda</w:t>
            </w:r>
            <w:r w:rsid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 </w:t>
            </w:r>
            <w:r w:rsidR="00C30026" w:rsidRPr="00C300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COINSA SAS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 contrato No. 063-2020,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Soporte Firewall de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dispositivos de seguridad perimetral.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21DD5EE4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7CA1734" w14:textId="77777777" w:rsidTr="00C30026">
        <w:trPr>
          <w:trHeight w:val="2143"/>
        </w:trPr>
        <w:tc>
          <w:tcPr>
            <w:tcW w:w="3133" w:type="dxa"/>
          </w:tcPr>
          <w:p w14:paraId="5EC13BDF" w14:textId="5A73C7BC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SERVIDOR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956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 xml:space="preserve">en  Servidor </w:t>
            </w:r>
            <w:proofErr w:type="spellStart"/>
            <w:r w:rsidR="004F0CCE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="004F0CCE">
              <w:rPr>
                <w:rFonts w:ascii="Arial" w:hAnsi="Arial" w:cs="Arial"/>
                <w:sz w:val="16"/>
                <w:szCs w:val="16"/>
              </w:rPr>
              <w:t xml:space="preserve">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ingresos no autorizados.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362" w:type="dxa"/>
          </w:tcPr>
          <w:p w14:paraId="071474E6" w14:textId="772E4BFF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m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ensualmente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copias de las Máquinas Virtuales.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4CFC456C" w:rsidR="00793458" w:rsidRDefault="00C30026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continúa a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diario realiza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ndo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revisión por el </w:t>
            </w:r>
            <w:proofErr w:type="spellStart"/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 w:rsidR="0079345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6D56104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DEC2F7E" w14:textId="4C9F8481" w:rsidR="00B077AC" w:rsidRDefault="00950B69" w:rsidP="00B077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agosto  queda el contrato No. 073-2020, 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B077A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Plataforma   </w:t>
            </w:r>
          </w:p>
          <w:p w14:paraId="67B5E2C9" w14:textId="05000CF7" w:rsidR="003C4964" w:rsidRDefault="002D2109" w:rsidP="00C3002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dentro de esta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</w:tc>
      </w:tr>
    </w:tbl>
    <w:p w14:paraId="0BE665FF" w14:textId="1CFB291E" w:rsidR="00CB72C1" w:rsidRDefault="00CB72C1">
      <w:pPr>
        <w:rPr>
          <w:rFonts w:ascii="Arial" w:hAnsi="Arial" w:cs="Arial"/>
        </w:rPr>
      </w:pPr>
    </w:p>
    <w:p w14:paraId="6B45A363" w14:textId="77777777" w:rsidR="000137FF" w:rsidRDefault="000137FF">
      <w:pPr>
        <w:rPr>
          <w:rFonts w:ascii="Arial" w:hAnsi="Arial" w:cs="Arial"/>
        </w:rPr>
      </w:pPr>
    </w:p>
    <w:p w14:paraId="6999F1AB" w14:textId="77777777" w:rsidR="000137FF" w:rsidRDefault="000137FF">
      <w:pPr>
        <w:rPr>
          <w:rFonts w:ascii="Arial" w:hAnsi="Arial" w:cs="Arial"/>
        </w:rPr>
      </w:pPr>
    </w:p>
    <w:p w14:paraId="51D90BC1" w14:textId="77777777" w:rsidR="000137FF" w:rsidRPr="004A1ACC" w:rsidRDefault="000137FF">
      <w:pPr>
        <w:rPr>
          <w:rFonts w:ascii="Arial" w:hAnsi="Arial" w:cs="Arial"/>
        </w:rPr>
      </w:pPr>
    </w:p>
    <w:sectPr w:rsidR="000137FF" w:rsidRPr="004A1ACC" w:rsidSect="00510304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4BAC1" w14:textId="77777777" w:rsidR="00F86EED" w:rsidRDefault="00F86EED" w:rsidP="0071689B">
      <w:pPr>
        <w:spacing w:after="0" w:line="240" w:lineRule="auto"/>
      </w:pPr>
      <w:r>
        <w:separator/>
      </w:r>
    </w:p>
  </w:endnote>
  <w:endnote w:type="continuationSeparator" w:id="0">
    <w:p w14:paraId="1B756E33" w14:textId="77777777" w:rsidR="00F86EED" w:rsidRDefault="00F86EED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641A6" w14:textId="77777777" w:rsidR="00F86EED" w:rsidRDefault="00F86EED" w:rsidP="0071689B">
      <w:pPr>
        <w:spacing w:after="0" w:line="240" w:lineRule="auto"/>
      </w:pPr>
      <w:r>
        <w:separator/>
      </w:r>
    </w:p>
  </w:footnote>
  <w:footnote w:type="continuationSeparator" w:id="0">
    <w:p w14:paraId="2B42E15A" w14:textId="77777777" w:rsidR="00F86EED" w:rsidRDefault="00F86EED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19"/>
    <w:rsid w:val="00004965"/>
    <w:rsid w:val="0001063C"/>
    <w:rsid w:val="000137FF"/>
    <w:rsid w:val="000138BA"/>
    <w:rsid w:val="00014EC6"/>
    <w:rsid w:val="00015358"/>
    <w:rsid w:val="00021D60"/>
    <w:rsid w:val="0002317B"/>
    <w:rsid w:val="00024B3A"/>
    <w:rsid w:val="00026EC2"/>
    <w:rsid w:val="00027AEB"/>
    <w:rsid w:val="00027FC5"/>
    <w:rsid w:val="00030D1B"/>
    <w:rsid w:val="00031E18"/>
    <w:rsid w:val="0003323D"/>
    <w:rsid w:val="000335AA"/>
    <w:rsid w:val="00035668"/>
    <w:rsid w:val="0003703A"/>
    <w:rsid w:val="0004295F"/>
    <w:rsid w:val="0004316F"/>
    <w:rsid w:val="000446A3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599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64AF"/>
    <w:rsid w:val="000F6B20"/>
    <w:rsid w:val="000F78EC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599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58B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028C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E0628"/>
    <w:rsid w:val="001E42E6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72DB"/>
    <w:rsid w:val="0022051B"/>
    <w:rsid w:val="00221A9F"/>
    <w:rsid w:val="0022355D"/>
    <w:rsid w:val="002244FF"/>
    <w:rsid w:val="00224D1A"/>
    <w:rsid w:val="00231559"/>
    <w:rsid w:val="00231DA1"/>
    <w:rsid w:val="002327FD"/>
    <w:rsid w:val="0023315F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5642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1A09"/>
    <w:rsid w:val="003430C4"/>
    <w:rsid w:val="00353B02"/>
    <w:rsid w:val="00353EA6"/>
    <w:rsid w:val="0035467A"/>
    <w:rsid w:val="00354E56"/>
    <w:rsid w:val="003565C8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5F5"/>
    <w:rsid w:val="003862EB"/>
    <w:rsid w:val="00390265"/>
    <w:rsid w:val="003918C8"/>
    <w:rsid w:val="00393736"/>
    <w:rsid w:val="003937C6"/>
    <w:rsid w:val="0039718E"/>
    <w:rsid w:val="003976F7"/>
    <w:rsid w:val="00397E1B"/>
    <w:rsid w:val="003A0D24"/>
    <w:rsid w:val="003A15FE"/>
    <w:rsid w:val="003A1F37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02A22"/>
    <w:rsid w:val="004064EF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27736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3488"/>
    <w:rsid w:val="00454CE8"/>
    <w:rsid w:val="00456A0E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2C1"/>
    <w:rsid w:val="004C13D7"/>
    <w:rsid w:val="004C2114"/>
    <w:rsid w:val="004C3DDF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85E"/>
    <w:rsid w:val="005415D6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676F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93C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07D31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42F1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5CB9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0C31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59B7"/>
    <w:rsid w:val="00795E52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C19"/>
    <w:rsid w:val="007B7EAD"/>
    <w:rsid w:val="007C155D"/>
    <w:rsid w:val="007C2AA9"/>
    <w:rsid w:val="007C4149"/>
    <w:rsid w:val="007C41AE"/>
    <w:rsid w:val="007C4552"/>
    <w:rsid w:val="007C4F3B"/>
    <w:rsid w:val="007C62D4"/>
    <w:rsid w:val="007C74A1"/>
    <w:rsid w:val="007D048D"/>
    <w:rsid w:val="007D5293"/>
    <w:rsid w:val="007D641F"/>
    <w:rsid w:val="007D75D9"/>
    <w:rsid w:val="007E220A"/>
    <w:rsid w:val="007E2C9C"/>
    <w:rsid w:val="007E47CA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2BB2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302F"/>
    <w:rsid w:val="00833778"/>
    <w:rsid w:val="008337BA"/>
    <w:rsid w:val="00833A78"/>
    <w:rsid w:val="00837226"/>
    <w:rsid w:val="00837883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D5F04"/>
    <w:rsid w:val="008E29BE"/>
    <w:rsid w:val="008E3AF2"/>
    <w:rsid w:val="008E3BB2"/>
    <w:rsid w:val="008E43F8"/>
    <w:rsid w:val="008E488A"/>
    <w:rsid w:val="008E4ED9"/>
    <w:rsid w:val="008E60F2"/>
    <w:rsid w:val="008E6297"/>
    <w:rsid w:val="008E6C94"/>
    <w:rsid w:val="008E75CB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07B44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2BE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478E8"/>
    <w:rsid w:val="009505EE"/>
    <w:rsid w:val="00950B69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0ADA"/>
    <w:rsid w:val="00974F9C"/>
    <w:rsid w:val="00975FBE"/>
    <w:rsid w:val="009802A2"/>
    <w:rsid w:val="009818ED"/>
    <w:rsid w:val="00981A84"/>
    <w:rsid w:val="009820DD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31B0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CAE"/>
    <w:rsid w:val="009E0CAF"/>
    <w:rsid w:val="009E40F0"/>
    <w:rsid w:val="009E5464"/>
    <w:rsid w:val="009E57A9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4CC4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760"/>
    <w:rsid w:val="00AA58E8"/>
    <w:rsid w:val="00AB0056"/>
    <w:rsid w:val="00AB4207"/>
    <w:rsid w:val="00AB5272"/>
    <w:rsid w:val="00AB6E50"/>
    <w:rsid w:val="00AB6FA8"/>
    <w:rsid w:val="00AB7170"/>
    <w:rsid w:val="00AB7348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D77DF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077AC"/>
    <w:rsid w:val="00B11CA0"/>
    <w:rsid w:val="00B11EB7"/>
    <w:rsid w:val="00B11FE7"/>
    <w:rsid w:val="00B120FC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010B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3509"/>
    <w:rsid w:val="00B844E8"/>
    <w:rsid w:val="00B84EC9"/>
    <w:rsid w:val="00B8583D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4F37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0026"/>
    <w:rsid w:val="00C317E6"/>
    <w:rsid w:val="00C31B39"/>
    <w:rsid w:val="00C31F27"/>
    <w:rsid w:val="00C34CC7"/>
    <w:rsid w:val="00C34EC0"/>
    <w:rsid w:val="00C3551C"/>
    <w:rsid w:val="00C41190"/>
    <w:rsid w:val="00C41697"/>
    <w:rsid w:val="00C421ED"/>
    <w:rsid w:val="00C43DE7"/>
    <w:rsid w:val="00C44E97"/>
    <w:rsid w:val="00C46FD3"/>
    <w:rsid w:val="00C473DF"/>
    <w:rsid w:val="00C47BF8"/>
    <w:rsid w:val="00C47DCC"/>
    <w:rsid w:val="00C50464"/>
    <w:rsid w:val="00C517DE"/>
    <w:rsid w:val="00C52623"/>
    <w:rsid w:val="00C56066"/>
    <w:rsid w:val="00C564E7"/>
    <w:rsid w:val="00C60D8F"/>
    <w:rsid w:val="00C61052"/>
    <w:rsid w:val="00C627A8"/>
    <w:rsid w:val="00C631A7"/>
    <w:rsid w:val="00C643C7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120"/>
    <w:rsid w:val="00CD48A9"/>
    <w:rsid w:val="00CD4BAF"/>
    <w:rsid w:val="00CD4E24"/>
    <w:rsid w:val="00CD5431"/>
    <w:rsid w:val="00CD5C19"/>
    <w:rsid w:val="00CD6CB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2E8D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0D1C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2073"/>
    <w:rsid w:val="00D33ED9"/>
    <w:rsid w:val="00D34BE1"/>
    <w:rsid w:val="00D3584B"/>
    <w:rsid w:val="00D368D6"/>
    <w:rsid w:val="00D4263B"/>
    <w:rsid w:val="00D42FD4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4B48"/>
    <w:rsid w:val="00D76724"/>
    <w:rsid w:val="00D768EB"/>
    <w:rsid w:val="00D7782D"/>
    <w:rsid w:val="00D804FD"/>
    <w:rsid w:val="00D809F6"/>
    <w:rsid w:val="00D8247A"/>
    <w:rsid w:val="00D8322E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12F8"/>
    <w:rsid w:val="00DC2288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3138"/>
    <w:rsid w:val="00E22C47"/>
    <w:rsid w:val="00E22E21"/>
    <w:rsid w:val="00E240C1"/>
    <w:rsid w:val="00E248E1"/>
    <w:rsid w:val="00E265A1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002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D5A"/>
    <w:rsid w:val="00E82E6C"/>
    <w:rsid w:val="00E90A7C"/>
    <w:rsid w:val="00E90E6C"/>
    <w:rsid w:val="00E91853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2B63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5BCA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40A1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76E"/>
    <w:rsid w:val="00F84BD2"/>
    <w:rsid w:val="00F85AD9"/>
    <w:rsid w:val="00F86071"/>
    <w:rsid w:val="00F8639C"/>
    <w:rsid w:val="00F86EED"/>
    <w:rsid w:val="00F90679"/>
    <w:rsid w:val="00F90F88"/>
    <w:rsid w:val="00F9248E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E3FA8"/>
    <w:rsid w:val="00FE4D42"/>
    <w:rsid w:val="00FE5786"/>
    <w:rsid w:val="00FE5B91"/>
    <w:rsid w:val="00FE5F90"/>
    <w:rsid w:val="00FE7241"/>
    <w:rsid w:val="00FF01AA"/>
    <w:rsid w:val="00FF125A"/>
    <w:rsid w:val="00FF4226"/>
    <w:rsid w:val="00FF4929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496A1C"/>
  <w15:docId w15:val="{3F984B74-1C8C-499D-8953-DBEEDF6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7219-30B4-492C-ADF9-F468A10C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3213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Martha  Gomez</cp:lastModifiedBy>
  <cp:revision>2</cp:revision>
  <cp:lastPrinted>2017-05-19T19:30:00Z</cp:lastPrinted>
  <dcterms:created xsi:type="dcterms:W3CDTF">2020-08-31T19:08:00Z</dcterms:created>
  <dcterms:modified xsi:type="dcterms:W3CDTF">2020-08-31T19:08:00Z</dcterms:modified>
</cp:coreProperties>
</file>