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C53F" w14:textId="77777777" w:rsidR="008B1F2C" w:rsidRDefault="008B1F2C" w:rsidP="000131F8">
      <w:pPr>
        <w:pStyle w:val="Ttulo1"/>
      </w:pPr>
    </w:p>
    <w:p w14:paraId="1B4F3D24" w14:textId="77777777" w:rsidR="008B1F2C" w:rsidRDefault="008B1F2C" w:rsidP="000131F8">
      <w:pPr>
        <w:pStyle w:val="Ttulo1"/>
      </w:pPr>
    </w:p>
    <w:p w14:paraId="6C35A8D5" w14:textId="2F655427" w:rsidR="008B1F2C" w:rsidRPr="0005621F" w:rsidRDefault="008B1F2C" w:rsidP="008B1F2C">
      <w:pPr>
        <w:pStyle w:val="Ttulo1"/>
        <w:ind w:left="567"/>
        <w:jc w:val="center"/>
        <w:rPr>
          <w:sz w:val="32"/>
          <w:szCs w:val="32"/>
        </w:rPr>
      </w:pPr>
      <w:bookmarkStart w:id="0" w:name="_Hlk103780005"/>
      <w:r w:rsidRPr="0005621F">
        <w:rPr>
          <w:sz w:val="32"/>
          <w:szCs w:val="32"/>
        </w:rPr>
        <w:t xml:space="preserve">PROCEDIMIENTO </w:t>
      </w:r>
      <w:r w:rsidR="00E7247D">
        <w:rPr>
          <w:sz w:val="32"/>
          <w:szCs w:val="32"/>
        </w:rPr>
        <w:t>MINIMA CUANTIA</w:t>
      </w:r>
    </w:p>
    <w:p w14:paraId="619AE724" w14:textId="77777777" w:rsidR="008B1F2C" w:rsidRDefault="008B1F2C" w:rsidP="008B1F2C">
      <w:pPr>
        <w:jc w:val="center"/>
        <w:rPr>
          <w:rFonts w:ascii="Arial" w:hAnsi="Arial" w:cs="Arial"/>
          <w:sz w:val="28"/>
          <w:szCs w:val="28"/>
          <w:lang w:val="gl-ES"/>
        </w:rPr>
      </w:pPr>
    </w:p>
    <w:p w14:paraId="4BE81DA6" w14:textId="77777777" w:rsidR="00B52267" w:rsidRDefault="00B52267" w:rsidP="00B52267">
      <w:pPr>
        <w:pStyle w:val="Ttulo2"/>
        <w:keepLines/>
        <w:numPr>
          <w:ilvl w:val="0"/>
          <w:numId w:val="35"/>
        </w:numPr>
        <w:spacing w:before="40"/>
        <w:rPr>
          <w:sz w:val="24"/>
        </w:rPr>
      </w:pPr>
      <w:r>
        <w:rPr>
          <w:sz w:val="24"/>
        </w:rPr>
        <w:t>DATOS BÁSICOS DEL PROCEDIMIENTO</w:t>
      </w:r>
    </w:p>
    <w:p w14:paraId="22C64C70" w14:textId="77777777" w:rsidR="00B52267" w:rsidRDefault="00B52267" w:rsidP="00B52267">
      <w:pPr>
        <w:rPr>
          <w:lang w:val="es-ES_tradnl"/>
        </w:rPr>
      </w:pPr>
    </w:p>
    <w:tbl>
      <w:tblPr>
        <w:tblStyle w:val="Tablaconcuadrcula4-nfasis5"/>
        <w:tblW w:w="0" w:type="auto"/>
        <w:tblInd w:w="-5" w:type="dxa"/>
        <w:tblLook w:val="04A0" w:firstRow="1" w:lastRow="0" w:firstColumn="1" w:lastColumn="0" w:noHBand="0" w:noVBand="1"/>
      </w:tblPr>
      <w:tblGrid>
        <w:gridCol w:w="3780"/>
        <w:gridCol w:w="2447"/>
        <w:gridCol w:w="1617"/>
        <w:gridCol w:w="2123"/>
      </w:tblGrid>
      <w:tr w:rsidR="00B52267" w14:paraId="41E5B2A8" w14:textId="77777777" w:rsidTr="00B52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hideMark/>
          </w:tcPr>
          <w:p w14:paraId="2C6F2414" w14:textId="77777777" w:rsidR="00B52267" w:rsidRDefault="00B52267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bookmarkStart w:id="1" w:name="_Hlk122529732"/>
            <w:r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2447" w:type="dxa"/>
            <w:hideMark/>
          </w:tcPr>
          <w:p w14:paraId="3EC7E05E" w14:textId="77777777" w:rsidR="00B52267" w:rsidRDefault="00B5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1617" w:type="dxa"/>
            <w:hideMark/>
          </w:tcPr>
          <w:p w14:paraId="14F74C78" w14:textId="77777777" w:rsidR="00B52267" w:rsidRDefault="00B5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2123" w:type="dxa"/>
            <w:hideMark/>
          </w:tcPr>
          <w:p w14:paraId="6E3D54A8" w14:textId="77777777" w:rsidR="00B52267" w:rsidRDefault="00B5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bookmarkEnd w:id="1"/>
      <w:tr w:rsidR="00B52267" w14:paraId="2CC9BF83" w14:textId="77777777" w:rsidTr="00B5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2403BA2A" w14:textId="77777777" w:rsidR="00B52267" w:rsidRDefault="00B52267" w:rsidP="00B52267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8"/>
              </w:rPr>
              <w:t>Gestion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8"/>
              </w:rPr>
              <w:t xml:space="preserve"> Contractual</w:t>
            </w:r>
          </w:p>
        </w:tc>
        <w:tc>
          <w:tcPr>
            <w:tcW w:w="244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3E099CA6" w14:textId="3D7124F6" w:rsidR="00B52267" w:rsidRDefault="00804CA3" w:rsidP="00B52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4CA3">
              <w:rPr>
                <w:rFonts w:ascii="Arial" w:hAnsi="Arial" w:cs="Arial"/>
                <w:sz w:val="28"/>
              </w:rPr>
              <w:t>OAJ-102-GC-PD-0025</w:t>
            </w:r>
          </w:p>
        </w:tc>
        <w:tc>
          <w:tcPr>
            <w:tcW w:w="16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11CB5969" w14:textId="17CF7416" w:rsidR="00B52267" w:rsidRDefault="00804CA3" w:rsidP="00B52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0001</w:t>
            </w:r>
          </w:p>
        </w:tc>
        <w:tc>
          <w:tcPr>
            <w:tcW w:w="212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14:paraId="4131C119" w14:textId="442121D0" w:rsidR="00B52267" w:rsidRDefault="00B52267" w:rsidP="00B52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2</w:t>
            </w:r>
            <w:r w:rsidR="00384823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2</w:t>
            </w: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/</w:t>
            </w:r>
            <w:r w:rsidR="00384823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12</w:t>
            </w:r>
            <w:bookmarkStart w:id="2" w:name="_GoBack"/>
            <w:bookmarkEnd w:id="2"/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/2022</w:t>
            </w:r>
          </w:p>
        </w:tc>
      </w:tr>
      <w:tr w:rsidR="00B52267" w14:paraId="7D1F7799" w14:textId="77777777" w:rsidTr="00B52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14:paraId="52C4DFDA" w14:textId="77777777" w:rsidR="00B52267" w:rsidRDefault="00B52267" w:rsidP="00B5226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244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14:paraId="65CC912C" w14:textId="77777777" w:rsidR="00B52267" w:rsidRDefault="00B52267" w:rsidP="00B52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3740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4472C4" w:themeFill="accent5"/>
            <w:hideMark/>
          </w:tcPr>
          <w:p w14:paraId="73EA4329" w14:textId="77777777" w:rsidR="00B52267" w:rsidRDefault="00B52267" w:rsidP="00B52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B52267" w14:paraId="3D76EE10" w14:textId="77777777" w:rsidTr="00B5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/>
            <w:hideMark/>
          </w:tcPr>
          <w:p w14:paraId="3B3C2497" w14:textId="77777777" w:rsidR="00B52267" w:rsidRDefault="00B52267" w:rsidP="00B52267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244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/>
            <w:hideMark/>
          </w:tcPr>
          <w:p w14:paraId="0D548003" w14:textId="77777777" w:rsidR="00B52267" w:rsidRDefault="00B52267" w:rsidP="00B52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3740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/>
            <w:vAlign w:val="center"/>
            <w:hideMark/>
          </w:tcPr>
          <w:p w14:paraId="7DBFADAE" w14:textId="77777777" w:rsidR="00B52267" w:rsidRDefault="00B52267" w:rsidP="00B52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42D582BB" w14:textId="77777777" w:rsidR="00B52267" w:rsidRDefault="00B52267" w:rsidP="00B52267">
      <w:pPr>
        <w:pStyle w:val="Ttulo2"/>
        <w:ind w:left="1800"/>
        <w:rPr>
          <w:sz w:val="24"/>
          <w:szCs w:val="32"/>
        </w:rPr>
      </w:pPr>
    </w:p>
    <w:bookmarkEnd w:id="0"/>
    <w:p w14:paraId="04AA1FDA" w14:textId="02463B10" w:rsidR="005F3D8F" w:rsidRPr="00E73858" w:rsidRDefault="00F75562" w:rsidP="00C84155">
      <w:pPr>
        <w:tabs>
          <w:tab w:val="left" w:pos="4224"/>
        </w:tabs>
        <w:spacing w:before="240" w:after="240"/>
        <w:jc w:val="both"/>
        <w:rPr>
          <w:rFonts w:ascii="Arial" w:hAnsi="Arial" w:cs="Arial"/>
          <w:b/>
          <w:lang w:val="es-ES_tradnl"/>
        </w:rPr>
      </w:pPr>
      <w:r w:rsidRPr="00E73858">
        <w:rPr>
          <w:rFonts w:ascii="Arial" w:hAnsi="Arial" w:cs="Arial"/>
          <w:b/>
          <w:lang w:val="es-ES_tradnl"/>
        </w:rPr>
        <w:t>2. O</w:t>
      </w:r>
      <w:r w:rsidR="00EB0E97" w:rsidRPr="00E73858">
        <w:rPr>
          <w:rFonts w:ascii="Arial" w:hAnsi="Arial" w:cs="Arial"/>
          <w:b/>
          <w:lang w:val="es-ES_tradnl"/>
        </w:rPr>
        <w:t>BJETIVO</w:t>
      </w:r>
      <w:r w:rsidR="00855B04" w:rsidRPr="00E73858">
        <w:rPr>
          <w:rFonts w:ascii="Arial" w:hAnsi="Arial" w:cs="Arial"/>
          <w:b/>
          <w:lang w:val="es-ES_tradnl"/>
        </w:rPr>
        <w:t xml:space="preserve">: </w:t>
      </w:r>
      <w:r w:rsidR="00C84155">
        <w:rPr>
          <w:rFonts w:ascii="Arial" w:hAnsi="Arial" w:cs="Arial"/>
          <w:b/>
          <w:lang w:val="es-ES_tradnl"/>
        </w:rPr>
        <w:tab/>
      </w:r>
    </w:p>
    <w:p w14:paraId="3E271F35" w14:textId="35E4731B" w:rsidR="00855B04" w:rsidRPr="006E4090" w:rsidRDefault="00855B04" w:rsidP="006E4090">
      <w:pPr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Contratar los bienes y/o servicios que requiera la entidad para el cumplimiento de sus funciones y fines misionales en aplicación de los principios que rigen </w:t>
      </w:r>
      <w:r w:rsidR="00335766" w:rsidRPr="006E4090">
        <w:rPr>
          <w:rFonts w:ascii="Arial" w:hAnsi="Arial" w:cs="Arial"/>
          <w:bCs/>
          <w:lang w:val="es-CO"/>
        </w:rPr>
        <w:t xml:space="preserve">la </w:t>
      </w:r>
      <w:r w:rsidRPr="006E4090">
        <w:rPr>
          <w:rFonts w:ascii="Arial" w:hAnsi="Arial" w:cs="Arial"/>
          <w:bCs/>
          <w:lang w:val="es-CO"/>
        </w:rPr>
        <w:t>contratación pública</w:t>
      </w:r>
      <w:r w:rsidR="00335766" w:rsidRPr="006E4090">
        <w:rPr>
          <w:rFonts w:ascii="Arial" w:hAnsi="Arial" w:cs="Arial"/>
          <w:bCs/>
          <w:lang w:val="es-CO"/>
        </w:rPr>
        <w:t xml:space="preserve"> bajo la modalidad de </w:t>
      </w:r>
      <w:r w:rsidR="008B1F2C">
        <w:rPr>
          <w:rFonts w:ascii="Arial" w:hAnsi="Arial" w:cs="Arial"/>
          <w:bCs/>
          <w:lang w:val="es-CO"/>
        </w:rPr>
        <w:t>M</w:t>
      </w:r>
      <w:r w:rsidR="00335766" w:rsidRPr="006E4090">
        <w:rPr>
          <w:rFonts w:ascii="Arial" w:hAnsi="Arial" w:cs="Arial"/>
          <w:bCs/>
          <w:lang w:val="es-CO"/>
        </w:rPr>
        <w:t xml:space="preserve">ínima </w:t>
      </w:r>
      <w:r w:rsidR="008B1F2C">
        <w:rPr>
          <w:rFonts w:ascii="Arial" w:hAnsi="Arial" w:cs="Arial"/>
          <w:bCs/>
          <w:lang w:val="es-CO"/>
        </w:rPr>
        <w:t>C</w:t>
      </w:r>
      <w:r w:rsidR="00335766" w:rsidRPr="006E4090">
        <w:rPr>
          <w:rFonts w:ascii="Arial" w:hAnsi="Arial" w:cs="Arial"/>
          <w:bCs/>
          <w:lang w:val="es-CO"/>
        </w:rPr>
        <w:t xml:space="preserve">uantía. </w:t>
      </w:r>
    </w:p>
    <w:p w14:paraId="06C41F60" w14:textId="77777777" w:rsidR="005F3D8F" w:rsidRPr="006E4090" w:rsidRDefault="004C7914" w:rsidP="006E4090">
      <w:pPr>
        <w:pStyle w:val="Ttulo2"/>
        <w:spacing w:before="240" w:after="240"/>
        <w:ind w:left="284" w:hanging="284"/>
        <w:jc w:val="both"/>
        <w:rPr>
          <w:sz w:val="24"/>
        </w:rPr>
      </w:pPr>
      <w:r w:rsidRPr="006E4090">
        <w:rPr>
          <w:sz w:val="24"/>
        </w:rPr>
        <w:t>3. A</w:t>
      </w:r>
      <w:r w:rsidR="00096576" w:rsidRPr="006E4090">
        <w:rPr>
          <w:sz w:val="24"/>
        </w:rPr>
        <w:t>L</w:t>
      </w:r>
      <w:r w:rsidR="008C123F" w:rsidRPr="006E4090">
        <w:rPr>
          <w:sz w:val="24"/>
        </w:rPr>
        <w:t>CANCE</w:t>
      </w:r>
      <w:r w:rsidR="00855B04" w:rsidRPr="006E4090">
        <w:rPr>
          <w:sz w:val="24"/>
        </w:rPr>
        <w:t xml:space="preserve">: </w:t>
      </w:r>
    </w:p>
    <w:p w14:paraId="249B9627" w14:textId="4DA2B646" w:rsidR="00982471" w:rsidRPr="006E4090" w:rsidRDefault="00855B04" w:rsidP="006E4090">
      <w:pPr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El procedimiento inicia con la verificación en el plan de adquisiciones del objeto a contratar y finaliza con la </w:t>
      </w:r>
      <w:r w:rsidR="008B1F2C">
        <w:rPr>
          <w:rFonts w:ascii="Arial" w:hAnsi="Arial" w:cs="Arial"/>
          <w:bCs/>
          <w:lang w:val="es-CO"/>
        </w:rPr>
        <w:t>designación</w:t>
      </w:r>
      <w:r w:rsidRPr="006E4090">
        <w:rPr>
          <w:rFonts w:ascii="Arial" w:hAnsi="Arial" w:cs="Arial"/>
          <w:bCs/>
          <w:lang w:val="es-CO"/>
        </w:rPr>
        <w:t xml:space="preserve"> de la supervisión del contrato.</w:t>
      </w:r>
    </w:p>
    <w:p w14:paraId="76B575E1" w14:textId="77777777" w:rsidR="00982471" w:rsidRPr="006E4090" w:rsidRDefault="004C7914" w:rsidP="00E73858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>4. P</w:t>
      </w:r>
      <w:r w:rsidR="00EB0E97" w:rsidRPr="006E4090">
        <w:rPr>
          <w:sz w:val="24"/>
        </w:rPr>
        <w:t>OLÍTICAS DE OPERACIÓN</w:t>
      </w:r>
      <w:r w:rsidR="00565B47" w:rsidRPr="006E4090">
        <w:rPr>
          <w:sz w:val="24"/>
        </w:rPr>
        <w:t xml:space="preserve"> </w:t>
      </w:r>
    </w:p>
    <w:p w14:paraId="0F569A54" w14:textId="52E000D2" w:rsidR="00F32600" w:rsidRPr="000B6591" w:rsidRDefault="00855B04" w:rsidP="000B6591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Consultar y aplicar lineamientos establecidos en el Manual de Contratación del INCI, conforme a la causal de modalidad de</w:t>
      </w:r>
      <w:r w:rsidR="00335766" w:rsidRPr="006E4090">
        <w:rPr>
          <w:rFonts w:ascii="Arial" w:hAnsi="Arial" w:cs="Arial"/>
          <w:bCs/>
          <w:lang w:val="es-CO"/>
        </w:rPr>
        <w:t xml:space="preserve"> </w:t>
      </w:r>
      <w:r w:rsidR="008B1F2C">
        <w:rPr>
          <w:rFonts w:ascii="Arial" w:hAnsi="Arial" w:cs="Arial"/>
          <w:bCs/>
          <w:lang w:val="es-CO"/>
        </w:rPr>
        <w:t>M</w:t>
      </w:r>
      <w:r w:rsidR="00335766" w:rsidRPr="006E4090">
        <w:rPr>
          <w:rFonts w:ascii="Arial" w:hAnsi="Arial" w:cs="Arial"/>
          <w:bCs/>
          <w:lang w:val="es-CO"/>
        </w:rPr>
        <w:t xml:space="preserve">ínima </w:t>
      </w:r>
      <w:r w:rsidR="008B1F2C">
        <w:rPr>
          <w:rFonts w:ascii="Arial" w:hAnsi="Arial" w:cs="Arial"/>
          <w:bCs/>
          <w:lang w:val="es-CO"/>
        </w:rPr>
        <w:t>C</w:t>
      </w:r>
      <w:r w:rsidR="00335766" w:rsidRPr="006E4090">
        <w:rPr>
          <w:rFonts w:ascii="Arial" w:hAnsi="Arial" w:cs="Arial"/>
          <w:bCs/>
          <w:lang w:val="es-CO"/>
        </w:rPr>
        <w:t>uantía.</w:t>
      </w:r>
      <w:r w:rsidR="00335766" w:rsidRPr="000B6591">
        <w:rPr>
          <w:rFonts w:ascii="Arial" w:hAnsi="Arial" w:cs="Arial"/>
          <w:bCs/>
        </w:rPr>
        <w:t>Cuando el valor del contrato por celebrar sea igual o inferior al 10% de la menor cuantía, independientemente de su naturaleza y objeto, se aplicará lo dispuesto en el procedimiento señalado en el artículo 94 de la Ley 1474 de 2011</w:t>
      </w:r>
      <w:r w:rsidR="000B6591" w:rsidRPr="000B6591">
        <w:rPr>
          <w:rFonts w:ascii="Arial" w:hAnsi="Arial" w:cs="Arial"/>
          <w:bCs/>
        </w:rPr>
        <w:t>,</w:t>
      </w:r>
      <w:r w:rsidR="00335766" w:rsidRPr="000B6591">
        <w:rPr>
          <w:rFonts w:ascii="Arial" w:hAnsi="Arial" w:cs="Arial"/>
          <w:bCs/>
        </w:rPr>
        <w:t xml:space="preserve"> en el Decreto 1082 de 2015 Art 2.2.1.2.1.5.1. y s</w:t>
      </w:r>
      <w:r w:rsidR="000B6591" w:rsidRPr="000B6591">
        <w:rPr>
          <w:rFonts w:ascii="Arial" w:hAnsi="Arial" w:cs="Arial"/>
          <w:bCs/>
        </w:rPr>
        <w:t>ubsiguientes</w:t>
      </w:r>
      <w:r w:rsidR="000B6591" w:rsidRPr="006152D1">
        <w:rPr>
          <w:rFonts w:ascii="Arial" w:hAnsi="Arial" w:cs="Arial"/>
          <w:bCs/>
        </w:rPr>
        <w:t xml:space="preserve">, </w:t>
      </w:r>
      <w:r w:rsidR="000B6591" w:rsidRPr="006152D1">
        <w:rPr>
          <w:rFonts w:ascii="Arial" w:hAnsi="Arial" w:cs="Arial"/>
        </w:rPr>
        <w:t>Art</w:t>
      </w:r>
      <w:r w:rsidR="00F84671" w:rsidRPr="006152D1">
        <w:rPr>
          <w:rFonts w:ascii="Arial" w:hAnsi="Arial" w:cs="Arial"/>
        </w:rPr>
        <w:t xml:space="preserve"> 30 de la Ley 2069 de 2020 mediante el cual se modifica el numeral 5 del </w:t>
      </w:r>
      <w:r w:rsidR="000B6591" w:rsidRPr="006152D1">
        <w:rPr>
          <w:rFonts w:ascii="Arial" w:hAnsi="Arial" w:cs="Arial"/>
        </w:rPr>
        <w:t>Art</w:t>
      </w:r>
      <w:r w:rsidR="00F84671" w:rsidRPr="006152D1">
        <w:rPr>
          <w:rFonts w:ascii="Arial" w:hAnsi="Arial" w:cs="Arial"/>
        </w:rPr>
        <w:t xml:space="preserve"> 2 de la Ley 1150 de 2007</w:t>
      </w:r>
      <w:r w:rsidR="00F84671" w:rsidRPr="000B6591">
        <w:rPr>
          <w:rFonts w:ascii="Arial" w:hAnsi="Arial" w:cs="Arial"/>
          <w:color w:val="00B050"/>
        </w:rPr>
        <w:t>.</w:t>
      </w:r>
    </w:p>
    <w:p w14:paraId="38D29E66" w14:textId="065193DB" w:rsidR="00F32600" w:rsidRPr="006E4090" w:rsidRDefault="00F32600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Siempre se requerirá estudios previos</w:t>
      </w:r>
      <w:r w:rsidR="000B6591">
        <w:rPr>
          <w:rFonts w:ascii="Arial" w:hAnsi="Arial" w:cs="Arial"/>
          <w:bCs/>
          <w:lang w:val="es-CO"/>
        </w:rPr>
        <w:t>, análisis del mercado</w:t>
      </w:r>
      <w:r w:rsidR="00335766" w:rsidRPr="006E4090">
        <w:rPr>
          <w:rFonts w:ascii="Arial" w:hAnsi="Arial" w:cs="Arial"/>
          <w:bCs/>
          <w:lang w:val="es-CO"/>
        </w:rPr>
        <w:t xml:space="preserve"> y estudios del sector.</w:t>
      </w:r>
    </w:p>
    <w:p w14:paraId="13921093" w14:textId="02A1F747" w:rsidR="00F32600" w:rsidRPr="006E4090" w:rsidRDefault="009537FF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La revisión de los estudios previos y sus diferentes versiones se realizará</w:t>
      </w:r>
      <w:r w:rsidR="000B6591">
        <w:rPr>
          <w:rFonts w:ascii="Arial" w:hAnsi="Arial" w:cs="Arial"/>
          <w:bCs/>
          <w:lang w:val="es-CO"/>
        </w:rPr>
        <w:t>n</w:t>
      </w:r>
      <w:r w:rsidRPr="006E4090">
        <w:rPr>
          <w:rFonts w:ascii="Arial" w:hAnsi="Arial" w:cs="Arial"/>
          <w:bCs/>
          <w:lang w:val="es-CO"/>
        </w:rPr>
        <w:t xml:space="preserve"> por medio de correo electrónico, hasta obtener la versión final de los estudios y documentos previos.</w:t>
      </w:r>
    </w:p>
    <w:p w14:paraId="67612ADD" w14:textId="482F573C" w:rsidR="00EB0E97" w:rsidRPr="006E4090" w:rsidRDefault="00F32600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La Oficina Asesora Jurídica tendrá un plazo máximo de ocho (8</w:t>
      </w:r>
      <w:r w:rsidR="000B6591">
        <w:rPr>
          <w:rFonts w:ascii="Arial" w:hAnsi="Arial" w:cs="Arial"/>
          <w:bCs/>
          <w:lang w:val="es-CO"/>
        </w:rPr>
        <w:t>)</w:t>
      </w:r>
      <w:r w:rsidRPr="006E4090">
        <w:rPr>
          <w:rFonts w:ascii="Arial" w:hAnsi="Arial" w:cs="Arial"/>
          <w:bCs/>
          <w:lang w:val="es-CO"/>
        </w:rPr>
        <w:t xml:space="preserve"> días hábiles para publicar y dar inicio al proceso de contratación</w:t>
      </w:r>
      <w:r w:rsidR="000B6591">
        <w:rPr>
          <w:rFonts w:ascii="Arial" w:hAnsi="Arial" w:cs="Arial"/>
          <w:bCs/>
          <w:lang w:val="es-CO"/>
        </w:rPr>
        <w:t>.</w:t>
      </w:r>
      <w:r w:rsidRPr="006E4090">
        <w:rPr>
          <w:rFonts w:ascii="Arial" w:hAnsi="Arial" w:cs="Arial"/>
          <w:bCs/>
          <w:lang w:val="es-CO"/>
        </w:rPr>
        <w:t xml:space="preserve"> </w:t>
      </w:r>
      <w:r w:rsidR="000B6591">
        <w:rPr>
          <w:rFonts w:ascii="Arial" w:hAnsi="Arial" w:cs="Arial"/>
          <w:bCs/>
          <w:lang w:val="es-CO"/>
        </w:rPr>
        <w:t>E</w:t>
      </w:r>
      <w:r w:rsidRPr="006E4090">
        <w:rPr>
          <w:rFonts w:ascii="Arial" w:hAnsi="Arial" w:cs="Arial"/>
          <w:bCs/>
          <w:lang w:val="es-CO"/>
        </w:rPr>
        <w:t>ste termino se contará a partir de la fecha de radicación del memorando</w:t>
      </w:r>
      <w:r w:rsidR="000B6591">
        <w:rPr>
          <w:rFonts w:ascii="Arial" w:hAnsi="Arial" w:cs="Arial"/>
          <w:bCs/>
          <w:lang w:val="es-CO"/>
        </w:rPr>
        <w:t xml:space="preserve"> de autorización </w:t>
      </w:r>
      <w:r w:rsidRPr="006E4090">
        <w:rPr>
          <w:rFonts w:ascii="Arial" w:hAnsi="Arial" w:cs="Arial"/>
          <w:bCs/>
          <w:lang w:val="es-CO"/>
        </w:rPr>
        <w:t xml:space="preserve">de </w:t>
      </w:r>
      <w:r w:rsidR="000B6591">
        <w:rPr>
          <w:rFonts w:ascii="Arial" w:hAnsi="Arial" w:cs="Arial"/>
          <w:bCs/>
          <w:lang w:val="es-CO"/>
        </w:rPr>
        <w:t xml:space="preserve">la </w:t>
      </w:r>
      <w:r w:rsidRPr="006E4090">
        <w:rPr>
          <w:rFonts w:ascii="Arial" w:hAnsi="Arial" w:cs="Arial"/>
          <w:bCs/>
          <w:lang w:val="es-CO"/>
        </w:rPr>
        <w:t>contratación suscrito por el ordenador del gasto y sus anexos</w:t>
      </w:r>
      <w:r w:rsidR="000B6591">
        <w:rPr>
          <w:rFonts w:ascii="Arial" w:hAnsi="Arial" w:cs="Arial"/>
          <w:bCs/>
          <w:lang w:val="es-CO"/>
        </w:rPr>
        <w:t>.</w:t>
      </w:r>
      <w:r w:rsidRPr="006E4090">
        <w:rPr>
          <w:rFonts w:ascii="Arial" w:hAnsi="Arial" w:cs="Arial"/>
          <w:bCs/>
          <w:lang w:val="es-CO"/>
        </w:rPr>
        <w:t xml:space="preserve"> </w:t>
      </w:r>
      <w:r w:rsidR="000B6591">
        <w:rPr>
          <w:rFonts w:ascii="Arial" w:hAnsi="Arial" w:cs="Arial"/>
          <w:bCs/>
          <w:lang w:val="es-CO"/>
        </w:rPr>
        <w:t>D</w:t>
      </w:r>
      <w:r w:rsidRPr="006E4090">
        <w:rPr>
          <w:rFonts w:ascii="Arial" w:hAnsi="Arial" w:cs="Arial"/>
          <w:bCs/>
          <w:lang w:val="es-CO"/>
        </w:rPr>
        <w:t xml:space="preserve">icho término será </w:t>
      </w:r>
      <w:proofErr w:type="spellStart"/>
      <w:r w:rsidRPr="006E4090">
        <w:rPr>
          <w:rFonts w:ascii="Arial" w:hAnsi="Arial" w:cs="Arial"/>
          <w:bCs/>
          <w:lang w:val="es-CO"/>
        </w:rPr>
        <w:t>suceptible</w:t>
      </w:r>
      <w:proofErr w:type="spellEnd"/>
      <w:r w:rsidRPr="006E4090">
        <w:rPr>
          <w:rFonts w:ascii="Arial" w:hAnsi="Arial" w:cs="Arial"/>
          <w:bCs/>
          <w:lang w:val="es-CO"/>
        </w:rPr>
        <w:t xml:space="preserve"> de variaciones en caso </w:t>
      </w:r>
      <w:r w:rsidRPr="006E4090">
        <w:rPr>
          <w:rFonts w:ascii="Arial" w:hAnsi="Arial" w:cs="Arial"/>
          <w:bCs/>
          <w:lang w:val="es-CO"/>
        </w:rPr>
        <w:lastRenderedPageBreak/>
        <w:t>de que</w:t>
      </w:r>
      <w:r w:rsidR="009537FF" w:rsidRPr="006E4090">
        <w:rPr>
          <w:rFonts w:ascii="Arial" w:hAnsi="Arial" w:cs="Arial"/>
          <w:bCs/>
          <w:lang w:val="es-CO"/>
        </w:rPr>
        <w:t>:</w:t>
      </w:r>
      <w:r w:rsidRPr="006E4090">
        <w:rPr>
          <w:rFonts w:ascii="Arial" w:hAnsi="Arial" w:cs="Arial"/>
          <w:bCs/>
          <w:lang w:val="es-CO"/>
        </w:rPr>
        <w:t xml:space="preserve"> falten documentos</w:t>
      </w:r>
      <w:r w:rsidR="009537FF" w:rsidRPr="006E4090">
        <w:rPr>
          <w:rFonts w:ascii="Arial" w:hAnsi="Arial" w:cs="Arial"/>
          <w:bCs/>
          <w:lang w:val="es-CO"/>
        </w:rPr>
        <w:t xml:space="preserve">, </w:t>
      </w:r>
      <w:r w:rsidRPr="006E4090">
        <w:rPr>
          <w:rFonts w:ascii="Arial" w:hAnsi="Arial" w:cs="Arial"/>
          <w:bCs/>
          <w:lang w:val="es-CO"/>
        </w:rPr>
        <w:t xml:space="preserve">no se hayan realizado </w:t>
      </w:r>
      <w:r w:rsidR="009537FF" w:rsidRPr="006E4090">
        <w:rPr>
          <w:rFonts w:ascii="Arial" w:hAnsi="Arial" w:cs="Arial"/>
          <w:bCs/>
          <w:lang w:val="es-CO"/>
        </w:rPr>
        <w:t xml:space="preserve">los ajustes solicitados y/o </w:t>
      </w:r>
      <w:proofErr w:type="gramStart"/>
      <w:r w:rsidR="009537FF" w:rsidRPr="006E4090">
        <w:rPr>
          <w:rFonts w:ascii="Arial" w:hAnsi="Arial" w:cs="Arial"/>
          <w:bCs/>
          <w:lang w:val="es-CO"/>
        </w:rPr>
        <w:t>hayan</w:t>
      </w:r>
      <w:proofErr w:type="gramEnd"/>
      <w:r w:rsidR="009537FF" w:rsidRPr="006E4090">
        <w:rPr>
          <w:rFonts w:ascii="Arial" w:hAnsi="Arial" w:cs="Arial"/>
          <w:bCs/>
          <w:lang w:val="es-CO"/>
        </w:rPr>
        <w:t xml:space="preserve"> inconsistencias en los mismos.</w:t>
      </w:r>
    </w:p>
    <w:p w14:paraId="4507A584" w14:textId="35268331" w:rsidR="004A455A" w:rsidRPr="006152D1" w:rsidRDefault="004A455A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6152D1">
        <w:rPr>
          <w:rFonts w:ascii="Arial" w:hAnsi="Arial" w:cs="Arial"/>
          <w:bCs/>
          <w:lang w:val="es-CO"/>
        </w:rPr>
        <w:t xml:space="preserve">En caso que un proceso de selección se declare desierto, </w:t>
      </w:r>
      <w:r w:rsidR="00555947" w:rsidRPr="006152D1">
        <w:rPr>
          <w:rFonts w:ascii="Arial" w:hAnsi="Arial" w:cs="Arial"/>
          <w:bCs/>
          <w:lang w:val="es-CO"/>
        </w:rPr>
        <w:t>se deberá cumplir según lo dispuesto en el artículo 74 y 76 de la Ley 1437 de 2011</w:t>
      </w:r>
    </w:p>
    <w:p w14:paraId="156E686C" w14:textId="77777777" w:rsidR="00E73858" w:rsidRDefault="00BA04CB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E73858">
        <w:rPr>
          <w:rFonts w:ascii="Arial" w:hAnsi="Arial" w:cs="Arial"/>
          <w:bCs/>
          <w:lang w:val="es-CO"/>
        </w:rPr>
        <w:t>El cronograma del proceso en el SECOP II se realizará conforme a lo establecido en el Decreto 1082 de 2015, procedimiento para mínima cuantía Art. 2.2.1.2.1.5.1. y ss.</w:t>
      </w:r>
    </w:p>
    <w:p w14:paraId="4659405B" w14:textId="7EFB8F6E" w:rsidR="006F58DB" w:rsidRDefault="006F58DB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 w:rsidRPr="00E73858">
        <w:rPr>
          <w:rFonts w:ascii="Arial" w:hAnsi="Arial" w:cs="Arial"/>
          <w:bCs/>
          <w:lang w:val="es-CO"/>
        </w:rPr>
        <w:t>El expediente del proceso y el contrato será parcialmente electrónico y será parte integral del expediente físico, todo esto en implementación de la Circular Externa No. 21 de 22 de febrero de 2017</w:t>
      </w:r>
      <w:r w:rsidR="00713803" w:rsidRPr="00E73858">
        <w:rPr>
          <w:rFonts w:ascii="Arial" w:hAnsi="Arial" w:cs="Arial"/>
          <w:bCs/>
          <w:lang w:val="es-CO"/>
        </w:rPr>
        <w:t xml:space="preserve"> expedida por el Archivo General de la Nación. </w:t>
      </w:r>
    </w:p>
    <w:p w14:paraId="13BA638D" w14:textId="2E26CB47" w:rsidR="00555947" w:rsidRPr="00E73858" w:rsidRDefault="00555947" w:rsidP="00E7385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 xml:space="preserve">En el evento de que la contratación corresponda a un servicio </w:t>
      </w:r>
      <w:r w:rsidRPr="00555947">
        <w:rPr>
          <w:rFonts w:ascii="Arial" w:hAnsi="Arial" w:cs="Arial"/>
          <w:b/>
          <w:lang w:val="es-CO"/>
        </w:rPr>
        <w:t>no</w:t>
      </w:r>
      <w:r>
        <w:rPr>
          <w:rFonts w:ascii="Arial" w:hAnsi="Arial" w:cs="Arial"/>
          <w:bCs/>
          <w:lang w:val="es-CO"/>
        </w:rPr>
        <w:t xml:space="preserve"> será </w:t>
      </w:r>
      <w:r w:rsidR="00E21CC0">
        <w:rPr>
          <w:rFonts w:ascii="Arial" w:hAnsi="Arial" w:cs="Arial"/>
          <w:bCs/>
          <w:lang w:val="es-CO"/>
        </w:rPr>
        <w:t xml:space="preserve">necesaria la </w:t>
      </w:r>
      <w:r w:rsidRPr="00555947">
        <w:rPr>
          <w:rFonts w:ascii="Arial" w:hAnsi="Arial" w:cs="Arial"/>
          <w:bCs/>
          <w:lang w:val="es-CO"/>
        </w:rPr>
        <w:t>de certificación de existencia de bienes de acuerdo a la necesidad del contrato.</w:t>
      </w:r>
    </w:p>
    <w:p w14:paraId="591F0A93" w14:textId="77777777" w:rsidR="009537FF" w:rsidRPr="006E4090" w:rsidRDefault="009537FF" w:rsidP="006E409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</w:rPr>
      </w:pPr>
      <w:r w:rsidRPr="006E4090">
        <w:rPr>
          <w:rFonts w:ascii="Arial" w:hAnsi="Arial" w:cs="Arial"/>
          <w:b/>
          <w:bCs/>
          <w:lang w:val="es-CO"/>
        </w:rPr>
        <w:t>5. NORMATIVIDAD</w:t>
      </w:r>
    </w:p>
    <w:p w14:paraId="7A92B059" w14:textId="7CB884E1" w:rsidR="000131F8" w:rsidRPr="006E4090" w:rsidRDefault="000131F8" w:rsidP="02825468">
      <w:pPr>
        <w:rPr>
          <w:rFonts w:ascii="Arial" w:hAnsi="Arial" w:cs="Arial"/>
          <w:lang w:val="es-CO"/>
        </w:rPr>
      </w:pPr>
      <w:r w:rsidRPr="02825468">
        <w:rPr>
          <w:rFonts w:ascii="Arial" w:hAnsi="Arial" w:cs="Arial"/>
          <w:lang w:val="es-CO"/>
        </w:rPr>
        <w:t>Ver Normograma Institucional (Proceso Gestión Jurídica</w:t>
      </w:r>
      <w:r w:rsidR="665A99E5" w:rsidRPr="02825468">
        <w:rPr>
          <w:rFonts w:ascii="Arial" w:hAnsi="Arial" w:cs="Arial"/>
          <w:lang w:val="es-CO"/>
        </w:rPr>
        <w:t>)</w:t>
      </w:r>
    </w:p>
    <w:p w14:paraId="15563D99" w14:textId="77777777" w:rsidR="00982471" w:rsidRPr="006E4090" w:rsidRDefault="005663AA" w:rsidP="006E4090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 xml:space="preserve">6. </w:t>
      </w:r>
      <w:r w:rsidR="00EB0E97" w:rsidRPr="006E4090">
        <w:rPr>
          <w:sz w:val="24"/>
        </w:rPr>
        <w:t>DEFINICIONES</w:t>
      </w:r>
      <w:r w:rsidR="00C454C0" w:rsidRPr="006E4090">
        <w:rPr>
          <w:sz w:val="24"/>
        </w:rPr>
        <w:t xml:space="preserve"> </w:t>
      </w:r>
    </w:p>
    <w:p w14:paraId="289A9C30" w14:textId="77777777" w:rsidR="00E37966" w:rsidRPr="006E4090" w:rsidRDefault="00E37966" w:rsidP="00E37966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ADENDA: Es el documento que se expide dentro de un proceso de mínima cuantía con el fin de aclarar, modificar o precisar los términos establecidos, con posterioridad a la publicación de la invitación publica y los cuales formarán parte integral de los mismos.</w:t>
      </w:r>
    </w:p>
    <w:p w14:paraId="672A6659" w14:textId="77777777" w:rsidR="00E37966" w:rsidRPr="006E4090" w:rsidRDefault="00E37966" w:rsidP="00C056EE">
      <w:pPr>
        <w:rPr>
          <w:rFonts w:ascii="Arial" w:hAnsi="Arial" w:cs="Arial"/>
        </w:rPr>
      </w:pPr>
    </w:p>
    <w:p w14:paraId="58AE1628" w14:textId="77777777" w:rsidR="00713803" w:rsidRPr="006E4090" w:rsidRDefault="00E37966" w:rsidP="00713803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 xml:space="preserve">CONTRATACIÓN DE </w:t>
      </w:r>
      <w:r w:rsidR="00713803" w:rsidRPr="006E4090">
        <w:rPr>
          <w:rFonts w:ascii="Arial" w:hAnsi="Arial" w:cs="Arial"/>
          <w:bCs/>
          <w:lang w:val="es-CO"/>
        </w:rPr>
        <w:t>MÍNIMA CUANTÍA: Es un proceso de selección para la adquisición de bienes, servicios y obras cuyo valor no exceda del diez por ciento (10% de la menor cuantía para el I</w:t>
      </w:r>
      <w:r w:rsidRPr="006E4090">
        <w:rPr>
          <w:rFonts w:ascii="Arial" w:hAnsi="Arial" w:cs="Arial"/>
          <w:bCs/>
          <w:lang w:val="es-CO"/>
        </w:rPr>
        <w:t>NCI</w:t>
      </w:r>
      <w:r w:rsidR="00713803" w:rsidRPr="006E4090">
        <w:rPr>
          <w:rFonts w:ascii="Arial" w:hAnsi="Arial" w:cs="Arial"/>
          <w:bCs/>
          <w:lang w:val="es-CO"/>
        </w:rPr>
        <w:t>, independientemente de su objeto, se aplicará el procedimiento de Mínima Cuantía cuyas reglas se determinan exclusivamente en el artículo 94 de la Ley 1474 de 2011 y en el Decreto 1082 de 2015. El valor se establece en la Circular Interna de Cuantías.</w:t>
      </w:r>
    </w:p>
    <w:p w14:paraId="0A37501D" w14:textId="77777777" w:rsidR="00C056EE" w:rsidRPr="006E4090" w:rsidRDefault="00C056EE" w:rsidP="00C056EE">
      <w:pPr>
        <w:jc w:val="both"/>
        <w:rPr>
          <w:rFonts w:ascii="Arial" w:hAnsi="Arial" w:cs="Arial"/>
          <w:bCs/>
          <w:lang w:val="es-CO"/>
        </w:rPr>
      </w:pPr>
    </w:p>
    <w:p w14:paraId="7440A0B6" w14:textId="77777777" w:rsidR="00C056EE" w:rsidRPr="006E4090" w:rsidRDefault="00C056EE" w:rsidP="00C056EE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CONTRATO: Son acuerdos de voluntades entre personas naturales, jurídicas o entidades púbicas, donde exista reciprocidad, las obligaciones del mismo deben tener relación directa con el objeto de la entidad ejecutora, señalado en la ley o en sus reglamentos. Implica una contraprestación económica.</w:t>
      </w:r>
    </w:p>
    <w:p w14:paraId="5DAB6C7B" w14:textId="77777777" w:rsidR="00E37966" w:rsidRPr="006E4090" w:rsidRDefault="00E37966" w:rsidP="00C056EE">
      <w:pPr>
        <w:jc w:val="both"/>
        <w:rPr>
          <w:rFonts w:ascii="Arial" w:hAnsi="Arial" w:cs="Arial"/>
          <w:bCs/>
          <w:lang w:val="es-CO"/>
        </w:rPr>
      </w:pPr>
    </w:p>
    <w:p w14:paraId="2C7EF4B2" w14:textId="77777777" w:rsidR="00E37966" w:rsidRPr="006E4090" w:rsidRDefault="00E37966" w:rsidP="00E37966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INVITACIÓN PÚBLICA: Es el documento expedido por el Instituto, mediante el cual se plasman las condiciones para participar en el proceso de selección de mínima cuantía y se invita a cualquier interesado a que presente una oferta para contratar con el INCI.</w:t>
      </w:r>
    </w:p>
    <w:p w14:paraId="02EB378F" w14:textId="77777777" w:rsidR="00F14E74" w:rsidRPr="006E4090" w:rsidRDefault="00F14E74" w:rsidP="00C056EE">
      <w:pPr>
        <w:rPr>
          <w:rFonts w:ascii="Arial" w:hAnsi="Arial" w:cs="Arial"/>
        </w:rPr>
      </w:pPr>
    </w:p>
    <w:p w14:paraId="4AD7DFB1" w14:textId="77777777" w:rsidR="00E37966" w:rsidRPr="006E4090" w:rsidRDefault="00E37966" w:rsidP="00E37966">
      <w:pPr>
        <w:jc w:val="both"/>
        <w:rPr>
          <w:rFonts w:ascii="Arial" w:hAnsi="Arial" w:cs="Arial"/>
          <w:bCs/>
          <w:lang w:val="es-CO"/>
        </w:rPr>
      </w:pPr>
      <w:r w:rsidRPr="006E4090">
        <w:rPr>
          <w:rFonts w:ascii="Arial" w:hAnsi="Arial" w:cs="Arial"/>
          <w:bCs/>
          <w:lang w:val="es-CO"/>
        </w:rPr>
        <w:t>VERIFICACIÓN DE REQUISITOS HABILITANTES: Acción en la que se revisa el cumplimiento de requisitos mínimos de capacidad técnica jurídica y financiera, condiciones de experiencia, y de organización de los proponentes, que se exigen en la invitación publica, bajo los mismos parámetros establecidos por la Entidad, teniendo en cuenta la naturaleza y el valor del contrato a suscribir. Esta verificación no otorga puntaje.</w:t>
      </w:r>
    </w:p>
    <w:p w14:paraId="6A05A809" w14:textId="77777777" w:rsidR="00E37966" w:rsidRPr="006E4090" w:rsidRDefault="00E37966" w:rsidP="00C056EE">
      <w:pPr>
        <w:rPr>
          <w:rFonts w:ascii="Arial" w:hAnsi="Arial" w:cs="Arial"/>
        </w:rPr>
      </w:pPr>
    </w:p>
    <w:p w14:paraId="72E833C0" w14:textId="77777777" w:rsidR="00B73802" w:rsidRPr="006E4090" w:rsidRDefault="005663AA" w:rsidP="005663AA">
      <w:pPr>
        <w:pStyle w:val="Ttulo2"/>
        <w:ind w:left="0"/>
        <w:rPr>
          <w:sz w:val="24"/>
        </w:rPr>
      </w:pPr>
      <w:r w:rsidRPr="006E4090">
        <w:rPr>
          <w:sz w:val="24"/>
        </w:rPr>
        <w:t xml:space="preserve">7. </w:t>
      </w:r>
      <w:r w:rsidR="00B73802" w:rsidRPr="006E4090">
        <w:rPr>
          <w:sz w:val="24"/>
        </w:rPr>
        <w:t>ACTIVIDADES</w:t>
      </w:r>
    </w:p>
    <w:tbl>
      <w:tblPr>
        <w:tblStyle w:val="Tablaconcuadrcula1clara"/>
        <w:tblW w:w="0" w:type="auto"/>
        <w:tblLook w:val="06A0" w:firstRow="1" w:lastRow="0" w:firstColumn="1" w:lastColumn="0" w:noHBand="1" w:noVBand="1"/>
      </w:tblPr>
      <w:tblGrid>
        <w:gridCol w:w="504"/>
        <w:gridCol w:w="2537"/>
        <w:gridCol w:w="1723"/>
        <w:gridCol w:w="1724"/>
        <w:gridCol w:w="1723"/>
        <w:gridCol w:w="1751"/>
      </w:tblGrid>
      <w:tr w:rsidR="00580C72" w:rsidRPr="006E4090" w14:paraId="6B131A87" w14:textId="77777777" w:rsidTr="00B20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AFC7B24" w14:textId="77777777" w:rsidR="003976DB" w:rsidRPr="006E4090" w:rsidRDefault="003976DB" w:rsidP="000131F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6E4090">
              <w:rPr>
                <w:rFonts w:ascii="Arial" w:hAnsi="Arial" w:cs="Arial"/>
                <w:bCs w:val="0"/>
              </w:rPr>
              <w:t>#</w:t>
            </w:r>
          </w:p>
        </w:tc>
        <w:tc>
          <w:tcPr>
            <w:tcW w:w="2588" w:type="dxa"/>
            <w:vAlign w:val="center"/>
          </w:tcPr>
          <w:p w14:paraId="7C1606CB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724" w:type="dxa"/>
            <w:vAlign w:val="center"/>
          </w:tcPr>
          <w:p w14:paraId="399F6A14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Responsable</w:t>
            </w:r>
          </w:p>
          <w:p w14:paraId="5D4D2DDA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(Cargo</w:t>
            </w:r>
          </w:p>
        </w:tc>
        <w:tc>
          <w:tcPr>
            <w:tcW w:w="1724" w:type="dxa"/>
            <w:vAlign w:val="center"/>
          </w:tcPr>
          <w:p w14:paraId="798BB919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1724" w:type="dxa"/>
            <w:vAlign w:val="center"/>
          </w:tcPr>
          <w:p w14:paraId="190248F5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Control</w:t>
            </w:r>
          </w:p>
          <w:p w14:paraId="05C5BDA8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(Si Aplica</w:t>
            </w:r>
          </w:p>
        </w:tc>
        <w:tc>
          <w:tcPr>
            <w:tcW w:w="1697" w:type="dxa"/>
            <w:vAlign w:val="center"/>
          </w:tcPr>
          <w:p w14:paraId="57ACE82F" w14:textId="77777777" w:rsidR="003976DB" w:rsidRPr="006E4090" w:rsidRDefault="003976DB" w:rsidP="00013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6E4090">
              <w:rPr>
                <w:rFonts w:ascii="Arial" w:hAnsi="Arial" w:cs="Arial"/>
              </w:rPr>
              <w:t>Registros</w:t>
            </w:r>
          </w:p>
        </w:tc>
      </w:tr>
      <w:tr w:rsidR="00580C72" w:rsidRPr="006E4090" w14:paraId="7476C3FE" w14:textId="77777777" w:rsidTr="0001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649841BE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</w:t>
            </w:r>
          </w:p>
        </w:tc>
        <w:tc>
          <w:tcPr>
            <w:tcW w:w="2588" w:type="dxa"/>
            <w:vAlign w:val="center"/>
          </w:tcPr>
          <w:p w14:paraId="767E64B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Consolidar las necesidades de la entidad en el Plan Anual de Adquisiciones</w:t>
            </w:r>
          </w:p>
        </w:tc>
        <w:tc>
          <w:tcPr>
            <w:tcW w:w="1724" w:type="dxa"/>
            <w:vAlign w:val="center"/>
          </w:tcPr>
          <w:p w14:paraId="105C046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Jefe</w:t>
            </w:r>
          </w:p>
        </w:tc>
        <w:tc>
          <w:tcPr>
            <w:tcW w:w="1724" w:type="dxa"/>
            <w:vAlign w:val="center"/>
          </w:tcPr>
          <w:p w14:paraId="13FFF48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1724" w:type="dxa"/>
            <w:vAlign w:val="center"/>
          </w:tcPr>
          <w:p w14:paraId="224BF34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1697" w:type="dxa"/>
            <w:vAlign w:val="center"/>
          </w:tcPr>
          <w:p w14:paraId="5A39BBE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48C9F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Plan Anual de Adquisiciones</w:t>
            </w:r>
          </w:p>
        </w:tc>
      </w:tr>
      <w:tr w:rsidR="00580C72" w:rsidRPr="006E4090" w14:paraId="34067AEE" w14:textId="77777777" w:rsidTr="000131F8">
        <w:trPr>
          <w:trHeight w:val="1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18F999B5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2</w:t>
            </w:r>
          </w:p>
        </w:tc>
        <w:tc>
          <w:tcPr>
            <w:tcW w:w="2588" w:type="dxa"/>
            <w:vAlign w:val="center"/>
          </w:tcPr>
          <w:p w14:paraId="0918A5E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Verificar el objeto a contratar en el Plan de Adquisiciones para la vigencia, publicado en la plataforma transaccional SECOP II</w:t>
            </w:r>
          </w:p>
        </w:tc>
        <w:tc>
          <w:tcPr>
            <w:tcW w:w="1724" w:type="dxa"/>
            <w:vAlign w:val="center"/>
          </w:tcPr>
          <w:p w14:paraId="65D1255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3336730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1C020A7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Revisar PAA publicado en el SECOP II</w:t>
            </w:r>
          </w:p>
        </w:tc>
        <w:tc>
          <w:tcPr>
            <w:tcW w:w="1697" w:type="dxa"/>
            <w:vAlign w:val="center"/>
          </w:tcPr>
          <w:p w14:paraId="41C8F396" w14:textId="0357C91D" w:rsidR="000131F8" w:rsidRPr="006E4090" w:rsidRDefault="00580C72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Plan Anual de Adquisiciones</w:t>
            </w:r>
          </w:p>
        </w:tc>
      </w:tr>
      <w:tr w:rsidR="00580C72" w:rsidRPr="006E4090" w14:paraId="02F345BA" w14:textId="77777777" w:rsidTr="000131F8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FCD5EC4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3</w:t>
            </w:r>
          </w:p>
        </w:tc>
        <w:tc>
          <w:tcPr>
            <w:tcW w:w="2588" w:type="dxa"/>
            <w:vAlign w:val="center"/>
          </w:tcPr>
          <w:p w14:paraId="202E3644" w14:textId="38D4313D" w:rsidR="000131F8" w:rsidRPr="006E4090" w:rsidRDefault="000131F8" w:rsidP="000131F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E4090">
              <w:rPr>
                <w:color w:val="auto"/>
              </w:rPr>
              <w:t>Solicitar existencia de bienes</w:t>
            </w:r>
            <w:r w:rsidR="00F302B6">
              <w:rPr>
                <w:color w:val="auto"/>
              </w:rPr>
              <w:t xml:space="preserve"> de acuerdo a la necesidad del contrato</w:t>
            </w:r>
            <w:r w:rsidRPr="006E4090">
              <w:rPr>
                <w:color w:val="auto"/>
              </w:rPr>
              <w:t>.</w:t>
            </w:r>
          </w:p>
        </w:tc>
        <w:tc>
          <w:tcPr>
            <w:tcW w:w="1724" w:type="dxa"/>
            <w:vAlign w:val="center"/>
          </w:tcPr>
          <w:p w14:paraId="50A969FE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08A4EDB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72A3D3EC" w14:textId="118858AE" w:rsidR="000131F8" w:rsidRPr="006E4090" w:rsidRDefault="00F302B6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necesidad de constancia</w:t>
            </w:r>
          </w:p>
        </w:tc>
        <w:tc>
          <w:tcPr>
            <w:tcW w:w="1697" w:type="dxa"/>
            <w:vAlign w:val="center"/>
          </w:tcPr>
          <w:p w14:paraId="0D0B940D" w14:textId="4F32B203" w:rsidR="000131F8" w:rsidRPr="006E4090" w:rsidRDefault="00580C72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Pr="00580C72">
              <w:rPr>
                <w:rFonts w:ascii="Arial" w:hAnsi="Arial" w:cs="Arial"/>
              </w:rPr>
              <w:t>erificacion</w:t>
            </w:r>
            <w:proofErr w:type="spellEnd"/>
            <w:r w:rsidRPr="00580C72">
              <w:rPr>
                <w:rFonts w:ascii="Arial" w:hAnsi="Arial" w:cs="Arial"/>
              </w:rPr>
              <w:t xml:space="preserve"> de existencia de elementos en el </w:t>
            </w:r>
            <w:proofErr w:type="spellStart"/>
            <w:r w:rsidRPr="00580C72">
              <w:rPr>
                <w:rFonts w:ascii="Arial" w:hAnsi="Arial" w:cs="Arial"/>
              </w:rPr>
              <w:t>almacen</w:t>
            </w:r>
            <w:proofErr w:type="spellEnd"/>
          </w:p>
        </w:tc>
      </w:tr>
      <w:tr w:rsidR="00580C72" w:rsidRPr="006E4090" w14:paraId="215E86DE" w14:textId="77777777" w:rsidTr="000131F8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598DEE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4</w:t>
            </w:r>
          </w:p>
        </w:tc>
        <w:tc>
          <w:tcPr>
            <w:tcW w:w="2588" w:type="dxa"/>
            <w:vAlign w:val="center"/>
          </w:tcPr>
          <w:p w14:paraId="412A874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Expedir certificación de existencia de bienes.</w:t>
            </w:r>
          </w:p>
        </w:tc>
        <w:tc>
          <w:tcPr>
            <w:tcW w:w="1724" w:type="dxa"/>
            <w:vAlign w:val="center"/>
          </w:tcPr>
          <w:p w14:paraId="0E27B00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0061E4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0D68AB9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Administrativa y Financiera</w:t>
            </w:r>
          </w:p>
        </w:tc>
        <w:tc>
          <w:tcPr>
            <w:tcW w:w="1724" w:type="dxa"/>
            <w:vAlign w:val="center"/>
          </w:tcPr>
          <w:p w14:paraId="090E761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Verificar certificación de existencia de bienes</w:t>
            </w:r>
          </w:p>
        </w:tc>
        <w:tc>
          <w:tcPr>
            <w:tcW w:w="1697" w:type="dxa"/>
            <w:vAlign w:val="center"/>
          </w:tcPr>
          <w:p w14:paraId="0270B6A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Certificación de existencia de bienes. </w:t>
            </w:r>
          </w:p>
        </w:tc>
      </w:tr>
      <w:tr w:rsidR="00580C72" w:rsidRPr="006E4090" w14:paraId="5DE4DD9B" w14:textId="77777777" w:rsidTr="000131F8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78941E47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5</w:t>
            </w:r>
          </w:p>
        </w:tc>
        <w:tc>
          <w:tcPr>
            <w:tcW w:w="2588" w:type="dxa"/>
            <w:vAlign w:val="center"/>
          </w:tcPr>
          <w:p w14:paraId="443CA7D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Elaborar Estudios Previos y del Sector y remitirlos a la Oficina Asesora Jurídica para revisión.</w:t>
            </w:r>
          </w:p>
        </w:tc>
        <w:tc>
          <w:tcPr>
            <w:tcW w:w="1724" w:type="dxa"/>
            <w:vAlign w:val="center"/>
          </w:tcPr>
          <w:p w14:paraId="4C6B163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209D1F0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44EAFD9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47C7E1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Correo Electrónico.</w:t>
            </w:r>
          </w:p>
        </w:tc>
      </w:tr>
      <w:tr w:rsidR="00580C72" w:rsidRPr="006E4090" w14:paraId="3684A9BE" w14:textId="77777777" w:rsidTr="0001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9B4EA1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6</w:t>
            </w:r>
          </w:p>
        </w:tc>
        <w:tc>
          <w:tcPr>
            <w:tcW w:w="2588" w:type="dxa"/>
            <w:vAlign w:val="center"/>
          </w:tcPr>
          <w:p w14:paraId="417B154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Dar visto bueno y enviar versión final de los estudios previos y del sector junto con los documentos previos.</w:t>
            </w:r>
          </w:p>
        </w:tc>
        <w:tc>
          <w:tcPr>
            <w:tcW w:w="1724" w:type="dxa"/>
            <w:vAlign w:val="center"/>
          </w:tcPr>
          <w:p w14:paraId="551F329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1C6B485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5E7EF19E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Estudio previo y del sector versión final</w:t>
            </w:r>
          </w:p>
        </w:tc>
        <w:tc>
          <w:tcPr>
            <w:tcW w:w="1697" w:type="dxa"/>
            <w:vAlign w:val="center"/>
          </w:tcPr>
          <w:p w14:paraId="2E650B8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Correo Electrónico.</w:t>
            </w:r>
          </w:p>
        </w:tc>
      </w:tr>
      <w:tr w:rsidR="00580C72" w:rsidRPr="006E4090" w14:paraId="31DC3DAC" w14:textId="77777777" w:rsidTr="00BA73DC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75697EEC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7</w:t>
            </w:r>
          </w:p>
        </w:tc>
        <w:tc>
          <w:tcPr>
            <w:tcW w:w="2588" w:type="dxa"/>
            <w:vAlign w:val="center"/>
          </w:tcPr>
          <w:p w14:paraId="57A74EE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Solicitar el Certificado de Disponibilidad Presupuestal 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 xml:space="preserve"> CDP</w:t>
            </w:r>
          </w:p>
        </w:tc>
        <w:tc>
          <w:tcPr>
            <w:tcW w:w="1724" w:type="dxa"/>
            <w:vAlign w:val="center"/>
          </w:tcPr>
          <w:p w14:paraId="07FC16D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12DB2B6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4B94D5A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2F38A43" w14:textId="74D2FAFA" w:rsidR="000131F8" w:rsidRPr="006E4090" w:rsidRDefault="006152D1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131F8" w:rsidRPr="006E4090">
              <w:rPr>
                <w:rFonts w:ascii="Arial" w:hAnsi="Arial" w:cs="Arial"/>
              </w:rPr>
              <w:t>olicitud CDP</w:t>
            </w:r>
          </w:p>
          <w:p w14:paraId="043FD206" w14:textId="6528D40B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0C72" w:rsidRPr="006E4090" w14:paraId="5B429DC2" w14:textId="77777777" w:rsidTr="00BA73DC">
        <w:trPr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4B0A208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588" w:type="dxa"/>
            <w:vAlign w:val="center"/>
          </w:tcPr>
          <w:p w14:paraId="424777E1" w14:textId="5FBF394A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Expedir el Certificado de Disponibilidad Presupuestal </w:t>
            </w:r>
            <w:r w:rsidR="006E4090">
              <w:rPr>
                <w:rFonts w:ascii="Arial" w:hAnsi="Arial" w:cs="Arial"/>
              </w:rPr>
              <w:t>-</w:t>
            </w:r>
            <w:r w:rsidRPr="006E4090">
              <w:rPr>
                <w:rFonts w:ascii="Arial" w:hAnsi="Arial" w:cs="Arial"/>
              </w:rPr>
              <w:t xml:space="preserve"> CDP</w:t>
            </w:r>
          </w:p>
        </w:tc>
        <w:tc>
          <w:tcPr>
            <w:tcW w:w="1724" w:type="dxa"/>
            <w:vAlign w:val="center"/>
          </w:tcPr>
          <w:p w14:paraId="2812FA4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Funcionario encargado</w:t>
            </w:r>
          </w:p>
        </w:tc>
        <w:tc>
          <w:tcPr>
            <w:tcW w:w="1724" w:type="dxa"/>
            <w:vAlign w:val="center"/>
          </w:tcPr>
          <w:p w14:paraId="7E49F07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14:paraId="6C5054A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Revisar certificado de Disponibilidad Presupuestal.</w:t>
            </w:r>
          </w:p>
        </w:tc>
        <w:tc>
          <w:tcPr>
            <w:tcW w:w="1697" w:type="dxa"/>
            <w:vAlign w:val="center"/>
          </w:tcPr>
          <w:p w14:paraId="0CA54AF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CDP generado por el sistema SIIF Nación.</w:t>
            </w:r>
          </w:p>
        </w:tc>
      </w:tr>
      <w:tr w:rsidR="00580C72" w:rsidRPr="006E4090" w14:paraId="6CD65636" w14:textId="77777777" w:rsidTr="000131F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B2B7304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9</w:t>
            </w:r>
          </w:p>
        </w:tc>
        <w:tc>
          <w:tcPr>
            <w:tcW w:w="2588" w:type="dxa"/>
            <w:vAlign w:val="center"/>
          </w:tcPr>
          <w:p w14:paraId="452A364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Reunir todos los documentos según la lista de chequeo</w:t>
            </w:r>
          </w:p>
        </w:tc>
        <w:tc>
          <w:tcPr>
            <w:tcW w:w="1724" w:type="dxa"/>
            <w:vAlign w:val="center"/>
          </w:tcPr>
          <w:p w14:paraId="1E258D9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1A30DD1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3DEEC66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95CCDB3" w14:textId="5CF3499F" w:rsidR="000131F8" w:rsidRPr="006E4090" w:rsidRDefault="008B7407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Chequeo Convocatorias Publicas</w:t>
            </w:r>
            <w:r w:rsidR="000131F8" w:rsidRPr="006E4090">
              <w:rPr>
                <w:rFonts w:ascii="Arial" w:hAnsi="Arial" w:cs="Arial"/>
              </w:rPr>
              <w:t xml:space="preserve"> </w:t>
            </w:r>
          </w:p>
        </w:tc>
      </w:tr>
      <w:tr w:rsidR="00580C72" w:rsidRPr="006E4090" w14:paraId="0A9719A1" w14:textId="77777777" w:rsidTr="000131F8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D36975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10</w:t>
            </w:r>
          </w:p>
        </w:tc>
        <w:tc>
          <w:tcPr>
            <w:tcW w:w="2588" w:type="dxa"/>
            <w:vAlign w:val="center"/>
          </w:tcPr>
          <w:p w14:paraId="21A53A5C" w14:textId="2F2DD325" w:rsidR="000131F8" w:rsidRPr="006E4090" w:rsidRDefault="008B7407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Radica</w:t>
            </w:r>
            <w:r w:rsidR="000131F8" w:rsidRPr="006E4090">
              <w:rPr>
                <w:rFonts w:ascii="Arial" w:hAnsi="Arial" w:cs="Arial"/>
              </w:rPr>
              <w:t>r los memorando</w:t>
            </w:r>
            <w:r>
              <w:rPr>
                <w:rFonts w:ascii="Arial" w:hAnsi="Arial" w:cs="Arial"/>
              </w:rPr>
              <w:t>s</w:t>
            </w:r>
            <w:r w:rsidR="000131F8" w:rsidRPr="006E4090">
              <w:rPr>
                <w:rFonts w:ascii="Arial" w:hAnsi="Arial" w:cs="Arial"/>
              </w:rPr>
              <w:t xml:space="preserve"> de solicitud </w:t>
            </w:r>
            <w:proofErr w:type="gramStart"/>
            <w:r w:rsidR="000131F8" w:rsidRPr="006E4090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 xml:space="preserve"> autorización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de contratación</w:t>
            </w:r>
            <w:r>
              <w:rPr>
                <w:rFonts w:ascii="Arial" w:hAnsi="Arial" w:cs="Arial"/>
              </w:rPr>
              <w:t xml:space="preserve">, junto con </w:t>
            </w:r>
            <w:r w:rsidR="000131F8" w:rsidRPr="006E4090">
              <w:rPr>
                <w:rFonts w:ascii="Arial" w:hAnsi="Arial" w:cs="Arial"/>
              </w:rPr>
              <w:t>todos los documentos de la lista de chequeo.</w:t>
            </w:r>
          </w:p>
        </w:tc>
        <w:tc>
          <w:tcPr>
            <w:tcW w:w="1724" w:type="dxa"/>
            <w:vAlign w:val="center"/>
          </w:tcPr>
          <w:p w14:paraId="1C2F86D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28C5108F" w14:textId="1B6F3008" w:rsidR="000131F8" w:rsidRPr="006E4090" w:rsidRDefault="008B7407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</w:t>
            </w:r>
            <w:proofErr w:type="spellStart"/>
            <w:r>
              <w:rPr>
                <w:rFonts w:ascii="Arial" w:hAnsi="Arial" w:cs="Arial"/>
              </w:rPr>
              <w:t>Juridica</w:t>
            </w:r>
            <w:proofErr w:type="spellEnd"/>
          </w:p>
        </w:tc>
        <w:tc>
          <w:tcPr>
            <w:tcW w:w="1724" w:type="dxa"/>
            <w:vAlign w:val="center"/>
          </w:tcPr>
          <w:p w14:paraId="5C4E02C2" w14:textId="69A96F0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Memorando de </w:t>
            </w:r>
            <w:r w:rsidR="008B7407">
              <w:rPr>
                <w:rFonts w:ascii="Arial" w:hAnsi="Arial" w:cs="Arial"/>
              </w:rPr>
              <w:t xml:space="preserve">autorización </w:t>
            </w:r>
            <w:r w:rsidRPr="006E4090">
              <w:rPr>
                <w:rFonts w:ascii="Arial" w:hAnsi="Arial" w:cs="Arial"/>
              </w:rPr>
              <w:t>de contratación.</w:t>
            </w:r>
          </w:p>
        </w:tc>
        <w:tc>
          <w:tcPr>
            <w:tcW w:w="1697" w:type="dxa"/>
            <w:vAlign w:val="center"/>
          </w:tcPr>
          <w:p w14:paraId="3656B9A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0C72" w:rsidRPr="006E4090" w14:paraId="12722459" w14:textId="77777777" w:rsidTr="000131F8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737E36C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11</w:t>
            </w:r>
          </w:p>
        </w:tc>
        <w:tc>
          <w:tcPr>
            <w:tcW w:w="2588" w:type="dxa"/>
            <w:vAlign w:val="center"/>
          </w:tcPr>
          <w:p w14:paraId="5B7A7A7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Elaborar y publicar la Invitación Pública de Mínima Cuantía</w:t>
            </w:r>
          </w:p>
        </w:tc>
        <w:tc>
          <w:tcPr>
            <w:tcW w:w="1724" w:type="dxa"/>
            <w:vAlign w:val="center"/>
          </w:tcPr>
          <w:p w14:paraId="123593A2" w14:textId="21AA4C89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</w:t>
            </w:r>
            <w:r w:rsidR="0054194A"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l</w:t>
            </w:r>
            <w:r w:rsidR="0054194A">
              <w:rPr>
                <w:rFonts w:ascii="Arial" w:hAnsi="Arial" w:cs="Arial"/>
              </w:rPr>
              <w:t xml:space="preserve">a </w:t>
            </w:r>
            <w:r w:rsidR="0054194A"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4706855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5BF5B2C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Invitación Pública Mínima Cuantía</w:t>
            </w:r>
          </w:p>
        </w:tc>
        <w:tc>
          <w:tcPr>
            <w:tcW w:w="1697" w:type="dxa"/>
            <w:vAlign w:val="center"/>
          </w:tcPr>
          <w:p w14:paraId="34F11B96" w14:textId="396BAA18" w:rsidR="000131F8" w:rsidRPr="006E4090" w:rsidRDefault="00930A0A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Invitacion</w:t>
            </w:r>
            <w:proofErr w:type="spellEnd"/>
            <w:r>
              <w:rPr>
                <w:rFonts w:ascii="Arial" w:hAnsi="Arial" w:cs="Arial"/>
              </w:rPr>
              <w:t xml:space="preserve"> Publica para Presentar Oferta.</w:t>
            </w:r>
          </w:p>
        </w:tc>
      </w:tr>
      <w:tr w:rsidR="00580C72" w:rsidRPr="006E4090" w14:paraId="1B1D1840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B73E58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12</w:t>
            </w:r>
          </w:p>
        </w:tc>
        <w:tc>
          <w:tcPr>
            <w:tcW w:w="2588" w:type="dxa"/>
            <w:vAlign w:val="center"/>
          </w:tcPr>
          <w:p w14:paraId="6B322C8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Dar inicio al proceso en la plataforma transaccional SECOP II.</w:t>
            </w:r>
          </w:p>
        </w:tc>
        <w:tc>
          <w:tcPr>
            <w:tcW w:w="1724" w:type="dxa"/>
            <w:vAlign w:val="center"/>
          </w:tcPr>
          <w:p w14:paraId="77EB37C5" w14:textId="76E23DDB" w:rsidR="000131F8" w:rsidRPr="006E4090" w:rsidRDefault="00930A0A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</w:t>
            </w:r>
            <w:r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a </w:t>
            </w: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2BAD6B6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64EDAF9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Plataforma del </w:t>
            </w:r>
            <w:proofErr w:type="spellStart"/>
            <w:r w:rsidRPr="006E4090">
              <w:rPr>
                <w:rFonts w:ascii="Arial" w:hAnsi="Arial" w:cs="Arial"/>
              </w:rPr>
              <w:t>Secop</w:t>
            </w:r>
            <w:proofErr w:type="spellEnd"/>
            <w:r w:rsidRPr="006E4090">
              <w:rPr>
                <w:rFonts w:ascii="Arial" w:hAnsi="Arial" w:cs="Arial"/>
              </w:rPr>
              <w:t xml:space="preserve"> II.</w:t>
            </w:r>
          </w:p>
        </w:tc>
        <w:tc>
          <w:tcPr>
            <w:tcW w:w="1697" w:type="dxa"/>
            <w:vAlign w:val="center"/>
          </w:tcPr>
          <w:p w14:paraId="45FB081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0C72" w:rsidRPr="006E4090" w14:paraId="2493E21D" w14:textId="77777777" w:rsidTr="00BA73D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39F18D26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13</w:t>
            </w:r>
          </w:p>
        </w:tc>
        <w:tc>
          <w:tcPr>
            <w:tcW w:w="2588" w:type="dxa"/>
            <w:vAlign w:val="center"/>
          </w:tcPr>
          <w:p w14:paraId="2F5853F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Recibir y dar respuesta a las observaciones</w:t>
            </w:r>
            <w:r w:rsidR="00EB6EAC"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realizadas (según el caso jurídicas y/o técnicas a la invitación pública a través de la plataforma transaccional del SECOP II.</w:t>
            </w:r>
          </w:p>
        </w:tc>
        <w:tc>
          <w:tcPr>
            <w:tcW w:w="1724" w:type="dxa"/>
            <w:vAlign w:val="center"/>
          </w:tcPr>
          <w:p w14:paraId="049F31CB" w14:textId="275DCC17" w:rsidR="000131F8" w:rsidRPr="006E4090" w:rsidRDefault="00930A0A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</w:t>
            </w:r>
            <w:r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a </w:t>
            </w:r>
            <w:r w:rsidRPr="006E4090">
              <w:rPr>
                <w:rFonts w:ascii="Arial" w:hAnsi="Arial" w:cs="Arial"/>
              </w:rPr>
              <w:t xml:space="preserve">Oficina Asesora Jurídica </w:t>
            </w:r>
          </w:p>
          <w:p w14:paraId="5312826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01B28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Referente técnico</w:t>
            </w:r>
          </w:p>
        </w:tc>
        <w:tc>
          <w:tcPr>
            <w:tcW w:w="1724" w:type="dxa"/>
            <w:vAlign w:val="center"/>
          </w:tcPr>
          <w:p w14:paraId="7DD2219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  <w:p w14:paraId="62486C0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E245A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Todos los procesos</w:t>
            </w:r>
          </w:p>
        </w:tc>
        <w:tc>
          <w:tcPr>
            <w:tcW w:w="1724" w:type="dxa"/>
            <w:vAlign w:val="center"/>
          </w:tcPr>
          <w:p w14:paraId="77D8705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1697" w:type="dxa"/>
            <w:vAlign w:val="center"/>
          </w:tcPr>
          <w:p w14:paraId="4101652C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0C72" w:rsidRPr="006E4090" w14:paraId="1B6F1554" w14:textId="77777777" w:rsidTr="00BA73DC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4E1E336A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14</w:t>
            </w:r>
          </w:p>
        </w:tc>
        <w:tc>
          <w:tcPr>
            <w:tcW w:w="2588" w:type="dxa"/>
            <w:vAlign w:val="center"/>
          </w:tcPr>
          <w:p w14:paraId="4B99056E" w14:textId="0EBF7E68" w:rsidR="000131F8" w:rsidRPr="006E4090" w:rsidRDefault="000131F8" w:rsidP="00BA73D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Realizar la adenda en la plataforma del SECOP II (Si aplica</w:t>
            </w:r>
            <w:r w:rsidR="00BA73DC">
              <w:rPr>
                <w:rFonts w:eastAsia="Times New Roman"/>
                <w:sz w:val="24"/>
                <w:szCs w:val="24"/>
                <w:lang w:val="es-ES" w:eastAsia="es-ES" w:bidi="ar-SA"/>
              </w:rPr>
              <w:t>)</w:t>
            </w:r>
          </w:p>
        </w:tc>
        <w:tc>
          <w:tcPr>
            <w:tcW w:w="1724" w:type="dxa"/>
            <w:vAlign w:val="center"/>
          </w:tcPr>
          <w:p w14:paraId="5F6846B8" w14:textId="32B7EF51" w:rsidR="000131F8" w:rsidRPr="006E4090" w:rsidRDefault="00930A0A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</w:t>
            </w:r>
            <w:r>
              <w:rPr>
                <w:rFonts w:ascii="Arial" w:hAnsi="Arial" w:cs="Arial"/>
              </w:rPr>
              <w:t xml:space="preserve"> </w:t>
            </w:r>
            <w:r w:rsidRPr="006E409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a </w:t>
            </w:r>
            <w:r w:rsidRPr="006E4090">
              <w:rPr>
                <w:rFonts w:ascii="Arial" w:hAnsi="Arial" w:cs="Arial"/>
              </w:rPr>
              <w:t xml:space="preserve">Oficina </w:t>
            </w:r>
            <w:r w:rsidRPr="006E4090">
              <w:rPr>
                <w:rFonts w:ascii="Arial" w:hAnsi="Arial" w:cs="Arial"/>
              </w:rPr>
              <w:lastRenderedPageBreak/>
              <w:t>Asesora Jurídica</w:t>
            </w:r>
          </w:p>
        </w:tc>
        <w:tc>
          <w:tcPr>
            <w:tcW w:w="1724" w:type="dxa"/>
            <w:vAlign w:val="center"/>
          </w:tcPr>
          <w:p w14:paraId="1DF5F06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lastRenderedPageBreak/>
              <w:t>Oficina Asesora Jurídica</w:t>
            </w:r>
          </w:p>
        </w:tc>
        <w:tc>
          <w:tcPr>
            <w:tcW w:w="1724" w:type="dxa"/>
            <w:vAlign w:val="center"/>
          </w:tcPr>
          <w:p w14:paraId="4E97567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1697" w:type="dxa"/>
            <w:vAlign w:val="center"/>
          </w:tcPr>
          <w:p w14:paraId="1299C43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</w:tr>
      <w:tr w:rsidR="00580C72" w:rsidRPr="006E4090" w14:paraId="1B328B7E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33CFEC6B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15</w:t>
            </w:r>
          </w:p>
        </w:tc>
        <w:tc>
          <w:tcPr>
            <w:tcW w:w="2588" w:type="dxa"/>
            <w:vAlign w:val="center"/>
          </w:tcPr>
          <w:p w14:paraId="1D07C6A8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Recibir y publicar</w:t>
            </w:r>
            <w:r w:rsidR="00EB6EAC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 </w:t>
            </w: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las ofertas presentadas mediante la plataforma transaccional del SECOP II</w:t>
            </w:r>
          </w:p>
        </w:tc>
        <w:tc>
          <w:tcPr>
            <w:tcW w:w="1724" w:type="dxa"/>
            <w:vAlign w:val="center"/>
          </w:tcPr>
          <w:p w14:paraId="365D5D9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Grupo evaluador designado en la invitación pública</w:t>
            </w:r>
          </w:p>
        </w:tc>
        <w:tc>
          <w:tcPr>
            <w:tcW w:w="1724" w:type="dxa"/>
            <w:vAlign w:val="center"/>
          </w:tcPr>
          <w:p w14:paraId="4DDBEF0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4E91449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</w:tc>
        <w:tc>
          <w:tcPr>
            <w:tcW w:w="1697" w:type="dxa"/>
            <w:vAlign w:val="center"/>
          </w:tcPr>
          <w:p w14:paraId="6C20D72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Listado de oferentes en el SECOP II</w:t>
            </w:r>
          </w:p>
          <w:p w14:paraId="3461D77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  <w:p w14:paraId="5E5A8BC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Ofertas en el</w:t>
            </w:r>
          </w:p>
          <w:p w14:paraId="230D02F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 w:rsidRPr="006E4090">
              <w:rPr>
                <w:rFonts w:ascii="Arial" w:eastAsia="Calibri" w:hAnsi="Arial" w:cs="Arial"/>
                <w:bCs/>
                <w:spacing w:val="-6"/>
              </w:rPr>
              <w:t>SECOP II</w:t>
            </w:r>
          </w:p>
        </w:tc>
      </w:tr>
      <w:tr w:rsidR="00580C72" w:rsidRPr="006E4090" w14:paraId="635394AE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0EB5E79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16</w:t>
            </w:r>
          </w:p>
        </w:tc>
        <w:tc>
          <w:tcPr>
            <w:tcW w:w="2588" w:type="dxa"/>
            <w:vAlign w:val="center"/>
          </w:tcPr>
          <w:p w14:paraId="7E1CEDAE" w14:textId="77777777" w:rsidR="000131F8" w:rsidRPr="006E4090" w:rsidRDefault="000131F8" w:rsidP="006E4090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Realizar los informes de evaluación de los requisitos habilitantes y publicarlos en la plataforma transaccional del SECOP II</w:t>
            </w:r>
          </w:p>
        </w:tc>
        <w:tc>
          <w:tcPr>
            <w:tcW w:w="1724" w:type="dxa"/>
            <w:vAlign w:val="center"/>
          </w:tcPr>
          <w:p w14:paraId="74A12A3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Grupo evaluador designado en la invitación pública</w:t>
            </w:r>
          </w:p>
        </w:tc>
        <w:tc>
          <w:tcPr>
            <w:tcW w:w="1724" w:type="dxa"/>
            <w:vAlign w:val="center"/>
          </w:tcPr>
          <w:p w14:paraId="3CF2D8B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3FC083CA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  <w:p w14:paraId="0FB7827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05617090" w14:textId="7C5C3BE3" w:rsidR="000131F8" w:rsidRPr="006E4090" w:rsidRDefault="00FE34BD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>
              <w:rPr>
                <w:rFonts w:ascii="Arial" w:eastAsia="Calibri" w:hAnsi="Arial" w:cs="Arial"/>
                <w:bCs/>
                <w:spacing w:val="-6"/>
              </w:rPr>
              <w:t xml:space="preserve">Informe de </w:t>
            </w:r>
            <w:proofErr w:type="spellStart"/>
            <w:r>
              <w:rPr>
                <w:rFonts w:ascii="Arial" w:eastAsia="Calibri" w:hAnsi="Arial" w:cs="Arial"/>
                <w:bCs/>
                <w:spacing w:val="-6"/>
              </w:rPr>
              <w:t>Verificacion</w:t>
            </w:r>
            <w:proofErr w:type="spellEnd"/>
            <w:r>
              <w:rPr>
                <w:rFonts w:ascii="Arial" w:eastAsia="Calibri" w:hAnsi="Arial" w:cs="Arial"/>
                <w:bCs/>
                <w:spacing w:val="-6"/>
              </w:rPr>
              <w:t xml:space="preserve"> </w:t>
            </w:r>
            <w:r w:rsidRPr="00FE34BD">
              <w:rPr>
                <w:rFonts w:ascii="Arial" w:eastAsia="Calibri" w:hAnsi="Arial" w:cs="Arial"/>
                <w:bCs/>
                <w:spacing w:val="-6"/>
              </w:rPr>
              <w:t xml:space="preserve">de requisitos </w:t>
            </w:r>
            <w:proofErr w:type="spellStart"/>
            <w:r w:rsidRPr="00FE34BD">
              <w:rPr>
                <w:rFonts w:ascii="Arial" w:eastAsia="Calibri" w:hAnsi="Arial" w:cs="Arial"/>
                <w:bCs/>
                <w:spacing w:val="-6"/>
              </w:rPr>
              <w:t>minimos</w:t>
            </w:r>
            <w:proofErr w:type="spellEnd"/>
            <w:r w:rsidRPr="00FE34BD">
              <w:rPr>
                <w:rFonts w:ascii="Arial" w:eastAsia="Calibri" w:hAnsi="Arial" w:cs="Arial"/>
                <w:bCs/>
                <w:spacing w:val="-6"/>
              </w:rPr>
              <w:t xml:space="preserve"> habilitantes</w:t>
            </w:r>
          </w:p>
          <w:p w14:paraId="1FC3994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</w:tr>
      <w:tr w:rsidR="00580C72" w:rsidRPr="006E4090" w14:paraId="0585FA52" w14:textId="77777777" w:rsidTr="000131F8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111B77A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17</w:t>
            </w:r>
          </w:p>
        </w:tc>
        <w:tc>
          <w:tcPr>
            <w:tcW w:w="2588" w:type="dxa"/>
            <w:vAlign w:val="center"/>
          </w:tcPr>
          <w:p w14:paraId="59F52C4F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(Rechazar o pedir aclaraciones hasta tener una oferta que cumpla con todos los requisitos habilitantes</w:t>
            </w:r>
          </w:p>
          <w:p w14:paraId="0562CB0E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</w:p>
          <w:p w14:paraId="172840CB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Elaborar y publicar el informe definitivo de evaluación</w:t>
            </w:r>
          </w:p>
        </w:tc>
        <w:tc>
          <w:tcPr>
            <w:tcW w:w="1724" w:type="dxa"/>
            <w:vAlign w:val="center"/>
          </w:tcPr>
          <w:p w14:paraId="118A34F0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Grupo evaluador designado en la invitación pública</w:t>
            </w:r>
          </w:p>
        </w:tc>
        <w:tc>
          <w:tcPr>
            <w:tcW w:w="1724" w:type="dxa"/>
            <w:vAlign w:val="center"/>
          </w:tcPr>
          <w:p w14:paraId="34CE0A4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7DA0081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  <w:p w14:paraId="62EBF3C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352F5A93" w14:textId="79727F94" w:rsidR="00FE34BD" w:rsidRPr="006E4090" w:rsidRDefault="00FE34BD" w:rsidP="00FE3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>
              <w:rPr>
                <w:rFonts w:ascii="Arial" w:eastAsia="Calibri" w:hAnsi="Arial" w:cs="Arial"/>
                <w:bCs/>
                <w:spacing w:val="-6"/>
              </w:rPr>
              <w:t xml:space="preserve">Informe de </w:t>
            </w:r>
            <w:proofErr w:type="spellStart"/>
            <w:r>
              <w:rPr>
                <w:rFonts w:ascii="Arial" w:eastAsia="Calibri" w:hAnsi="Arial" w:cs="Arial"/>
                <w:bCs/>
                <w:spacing w:val="-6"/>
              </w:rPr>
              <w:t>Verificacion</w:t>
            </w:r>
            <w:proofErr w:type="spellEnd"/>
            <w:r>
              <w:rPr>
                <w:rFonts w:ascii="Arial" w:eastAsia="Calibri" w:hAnsi="Arial" w:cs="Arial"/>
                <w:bCs/>
                <w:spacing w:val="-6"/>
              </w:rPr>
              <w:t xml:space="preserve"> </w:t>
            </w:r>
            <w:r w:rsidRPr="00FE34BD">
              <w:rPr>
                <w:rFonts w:ascii="Arial" w:eastAsia="Calibri" w:hAnsi="Arial" w:cs="Arial"/>
                <w:bCs/>
                <w:spacing w:val="-6"/>
              </w:rPr>
              <w:t xml:space="preserve">de requisitos </w:t>
            </w:r>
            <w:proofErr w:type="spellStart"/>
            <w:r w:rsidRPr="00FE34BD">
              <w:rPr>
                <w:rFonts w:ascii="Arial" w:eastAsia="Calibri" w:hAnsi="Arial" w:cs="Arial"/>
                <w:bCs/>
                <w:spacing w:val="-6"/>
              </w:rPr>
              <w:t>minimos</w:t>
            </w:r>
            <w:proofErr w:type="spellEnd"/>
            <w:r w:rsidRPr="00FE34BD">
              <w:rPr>
                <w:rFonts w:ascii="Arial" w:eastAsia="Calibri" w:hAnsi="Arial" w:cs="Arial"/>
                <w:bCs/>
                <w:spacing w:val="-6"/>
              </w:rPr>
              <w:t xml:space="preserve"> habilitantes</w:t>
            </w:r>
          </w:p>
          <w:p w14:paraId="6D98A12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</w:p>
        </w:tc>
      </w:tr>
      <w:tr w:rsidR="00580C72" w:rsidRPr="006E4090" w14:paraId="634D71F2" w14:textId="77777777" w:rsidTr="000131F8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26D80A2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18</w:t>
            </w:r>
          </w:p>
        </w:tc>
        <w:tc>
          <w:tcPr>
            <w:tcW w:w="2588" w:type="dxa"/>
            <w:vAlign w:val="center"/>
          </w:tcPr>
          <w:p w14:paraId="3212C73A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Elaborar y publicar la carta de aceptación de la oferta (contrato en la plataforma transaccional del SECOP II</w:t>
            </w:r>
          </w:p>
        </w:tc>
        <w:tc>
          <w:tcPr>
            <w:tcW w:w="1724" w:type="dxa"/>
            <w:vAlign w:val="center"/>
          </w:tcPr>
          <w:p w14:paraId="70DF0B14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370AD293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0D9B2CF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Plataforma del SECOP II</w:t>
            </w:r>
          </w:p>
          <w:p w14:paraId="2946DB82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4EC774F8" w14:textId="38954461" w:rsidR="000131F8" w:rsidRPr="006E4090" w:rsidRDefault="00937231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pacing w:val="-6"/>
              </w:rPr>
            </w:pPr>
            <w:r>
              <w:rPr>
                <w:rFonts w:ascii="Arial" w:eastAsia="Calibri" w:hAnsi="Arial" w:cs="Arial"/>
                <w:bCs/>
                <w:spacing w:val="-6"/>
              </w:rPr>
              <w:t xml:space="preserve">Anexo </w:t>
            </w:r>
            <w:r w:rsidR="00046F95">
              <w:rPr>
                <w:rFonts w:ascii="Arial" w:eastAsia="Calibri" w:hAnsi="Arial" w:cs="Arial"/>
                <w:bCs/>
                <w:spacing w:val="-6"/>
              </w:rPr>
              <w:t xml:space="preserve">Carta de </w:t>
            </w:r>
            <w:proofErr w:type="spellStart"/>
            <w:r w:rsidR="00046F95">
              <w:rPr>
                <w:rFonts w:ascii="Arial" w:eastAsia="Calibri" w:hAnsi="Arial" w:cs="Arial"/>
                <w:bCs/>
                <w:spacing w:val="-6"/>
              </w:rPr>
              <w:t>Aceptacion</w:t>
            </w:r>
            <w:proofErr w:type="spellEnd"/>
            <w:r w:rsidR="00046F95">
              <w:rPr>
                <w:rFonts w:ascii="Arial" w:eastAsia="Calibri" w:hAnsi="Arial" w:cs="Arial"/>
                <w:bCs/>
                <w:spacing w:val="-6"/>
              </w:rPr>
              <w:t xml:space="preserve"> Oferta </w:t>
            </w:r>
          </w:p>
        </w:tc>
      </w:tr>
      <w:tr w:rsidR="00580C72" w:rsidRPr="006E4090" w14:paraId="50FF74F6" w14:textId="77777777" w:rsidTr="00BA73DC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632BF140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16</w:t>
            </w:r>
          </w:p>
        </w:tc>
        <w:tc>
          <w:tcPr>
            <w:tcW w:w="2588" w:type="dxa"/>
            <w:vAlign w:val="center"/>
          </w:tcPr>
          <w:p w14:paraId="7C1BA101" w14:textId="77777777" w:rsidR="000131F8" w:rsidRPr="006E4090" w:rsidRDefault="000131F8" w:rsidP="000131F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val="es-ES" w:eastAsia="es-ES" w:bidi="ar-SA"/>
              </w:rPr>
            </w:pP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Expedir Registro Presupuestal </w:t>
            </w:r>
            <w:r w:rsid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>-</w:t>
            </w:r>
            <w:r w:rsidRPr="006E4090">
              <w:rPr>
                <w:rFonts w:eastAsia="Times New Roman"/>
                <w:sz w:val="24"/>
                <w:szCs w:val="24"/>
                <w:lang w:val="es-ES" w:eastAsia="es-ES" w:bidi="ar-SA"/>
              </w:rPr>
              <w:t xml:space="preserve"> RP</w:t>
            </w:r>
          </w:p>
        </w:tc>
        <w:tc>
          <w:tcPr>
            <w:tcW w:w="1724" w:type="dxa"/>
            <w:vAlign w:val="center"/>
          </w:tcPr>
          <w:p w14:paraId="0C79F29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Funcionario encargado</w:t>
            </w:r>
          </w:p>
        </w:tc>
        <w:tc>
          <w:tcPr>
            <w:tcW w:w="1724" w:type="dxa"/>
            <w:vAlign w:val="center"/>
          </w:tcPr>
          <w:p w14:paraId="519B1728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Administrativa y Financiera</w:t>
            </w:r>
          </w:p>
        </w:tc>
        <w:tc>
          <w:tcPr>
            <w:tcW w:w="1724" w:type="dxa"/>
            <w:vAlign w:val="center"/>
          </w:tcPr>
          <w:p w14:paraId="5997CC1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269C2F7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RP generado por el sistema SIIF Nación.</w:t>
            </w:r>
          </w:p>
        </w:tc>
      </w:tr>
      <w:tr w:rsidR="00580C72" w:rsidRPr="006E4090" w14:paraId="4BF43809" w14:textId="77777777" w:rsidTr="000131F8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DA9612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588" w:type="dxa"/>
            <w:vAlign w:val="center"/>
          </w:tcPr>
          <w:p w14:paraId="09DD0882" w14:textId="6D0F0EB3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Constitución y envío de la garantía única de cumplimiento a la </w:t>
            </w:r>
            <w:proofErr w:type="spellStart"/>
            <w:r w:rsidRPr="006E4090">
              <w:rPr>
                <w:rFonts w:ascii="Arial" w:hAnsi="Arial" w:cs="Arial"/>
              </w:rPr>
              <w:t>O</w:t>
            </w:r>
            <w:r w:rsidR="00046F95">
              <w:rPr>
                <w:rFonts w:ascii="Arial" w:hAnsi="Arial" w:cs="Arial"/>
              </w:rPr>
              <w:t>ficiona</w:t>
            </w:r>
            <w:proofErr w:type="spellEnd"/>
            <w:r w:rsidR="00046F95">
              <w:rPr>
                <w:rFonts w:ascii="Arial" w:hAnsi="Arial" w:cs="Arial"/>
              </w:rPr>
              <w:t xml:space="preserve"> </w:t>
            </w:r>
            <w:proofErr w:type="spellStart"/>
            <w:r w:rsidRPr="006E4090">
              <w:rPr>
                <w:rFonts w:ascii="Arial" w:hAnsi="Arial" w:cs="Arial"/>
              </w:rPr>
              <w:t>A</w:t>
            </w:r>
            <w:r w:rsidR="00046F95">
              <w:rPr>
                <w:rFonts w:ascii="Arial" w:hAnsi="Arial" w:cs="Arial"/>
              </w:rPr>
              <w:t>asesora</w:t>
            </w:r>
            <w:proofErr w:type="spellEnd"/>
            <w:r w:rsidR="00046F95">
              <w:rPr>
                <w:rFonts w:ascii="Arial" w:hAnsi="Arial" w:cs="Arial"/>
              </w:rPr>
              <w:t xml:space="preserve"> </w:t>
            </w:r>
            <w:proofErr w:type="spellStart"/>
            <w:r w:rsidRPr="006E4090">
              <w:rPr>
                <w:rFonts w:ascii="Arial" w:hAnsi="Arial" w:cs="Arial"/>
              </w:rPr>
              <w:t>J</w:t>
            </w:r>
            <w:r w:rsidR="00046F95">
              <w:rPr>
                <w:rFonts w:ascii="Arial" w:hAnsi="Arial" w:cs="Arial"/>
              </w:rPr>
              <w:t>uridica</w:t>
            </w:r>
            <w:proofErr w:type="spellEnd"/>
            <w:r w:rsidRPr="006E4090">
              <w:rPr>
                <w:rFonts w:ascii="Arial" w:hAnsi="Arial" w:cs="Arial"/>
              </w:rPr>
              <w:t xml:space="preserve"> (En los casos que aplique</w:t>
            </w:r>
          </w:p>
        </w:tc>
        <w:tc>
          <w:tcPr>
            <w:tcW w:w="1724" w:type="dxa"/>
            <w:vAlign w:val="center"/>
          </w:tcPr>
          <w:p w14:paraId="110FFD3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489BFF7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Contratista</w:t>
            </w:r>
          </w:p>
          <w:p w14:paraId="6B699379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3FE9F23F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24" w:type="dxa"/>
            <w:vAlign w:val="center"/>
          </w:tcPr>
          <w:p w14:paraId="54DF5FEB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Revisar Plataforma del </w:t>
            </w:r>
            <w:proofErr w:type="spellStart"/>
            <w:r w:rsidRPr="006E4090">
              <w:rPr>
                <w:rFonts w:ascii="Arial" w:hAnsi="Arial" w:cs="Arial"/>
              </w:rPr>
              <w:t>Secop</w:t>
            </w:r>
            <w:proofErr w:type="spellEnd"/>
            <w:r w:rsidRPr="006E4090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697" w:type="dxa"/>
            <w:vAlign w:val="center"/>
          </w:tcPr>
          <w:p w14:paraId="1F72F646" w14:textId="47B3FCE0" w:rsidR="000131F8" w:rsidRPr="006E4090" w:rsidRDefault="00046F95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Poliza</w:t>
            </w:r>
            <w:proofErr w:type="spellEnd"/>
          </w:p>
        </w:tc>
      </w:tr>
      <w:tr w:rsidR="00580C72" w:rsidRPr="006E4090" w14:paraId="2736DD50" w14:textId="77777777" w:rsidTr="000131F8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5D9857E1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18</w:t>
            </w:r>
          </w:p>
        </w:tc>
        <w:tc>
          <w:tcPr>
            <w:tcW w:w="2588" w:type="dxa"/>
            <w:vAlign w:val="center"/>
          </w:tcPr>
          <w:p w14:paraId="3BA2E317" w14:textId="75B3DE11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Aprobación de la garantía única de cumplimiento (En los casos que aplique</w:t>
            </w:r>
            <w:r w:rsidR="00046F95">
              <w:rPr>
                <w:rFonts w:ascii="Arial" w:hAnsi="Arial" w:cs="Arial"/>
              </w:rPr>
              <w:t>)</w:t>
            </w:r>
          </w:p>
        </w:tc>
        <w:tc>
          <w:tcPr>
            <w:tcW w:w="1724" w:type="dxa"/>
            <w:vAlign w:val="center"/>
          </w:tcPr>
          <w:p w14:paraId="61427ED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Profesional encargado del proceso</w:t>
            </w:r>
          </w:p>
        </w:tc>
        <w:tc>
          <w:tcPr>
            <w:tcW w:w="1724" w:type="dxa"/>
            <w:vAlign w:val="center"/>
          </w:tcPr>
          <w:p w14:paraId="024D90D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724" w:type="dxa"/>
            <w:vAlign w:val="center"/>
          </w:tcPr>
          <w:p w14:paraId="08CE6F91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14:paraId="73A2453E" w14:textId="6B22F9AF" w:rsidR="000131F8" w:rsidRPr="006E4090" w:rsidRDefault="006152D1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131F8" w:rsidRPr="006E4090">
              <w:rPr>
                <w:rFonts w:ascii="Arial" w:hAnsi="Arial" w:cs="Arial"/>
              </w:rPr>
              <w:t xml:space="preserve">probación de </w:t>
            </w:r>
            <w:proofErr w:type="spellStart"/>
            <w:r w:rsidR="00046F95">
              <w:rPr>
                <w:rFonts w:ascii="Arial" w:hAnsi="Arial" w:cs="Arial"/>
              </w:rPr>
              <w:t>Polizas</w:t>
            </w:r>
            <w:proofErr w:type="spellEnd"/>
            <w:r w:rsidR="000131F8" w:rsidRPr="006E4090">
              <w:rPr>
                <w:rFonts w:ascii="Arial" w:hAnsi="Arial" w:cs="Arial"/>
              </w:rPr>
              <w:t>.</w:t>
            </w:r>
          </w:p>
          <w:p w14:paraId="705AA540" w14:textId="392898A2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0C72" w:rsidRPr="006E4090" w14:paraId="783C7585" w14:textId="77777777" w:rsidTr="00BA73DC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847A633" w14:textId="77777777" w:rsidR="000131F8" w:rsidRPr="006E4090" w:rsidRDefault="000131F8" w:rsidP="000131F8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19</w:t>
            </w:r>
          </w:p>
        </w:tc>
        <w:tc>
          <w:tcPr>
            <w:tcW w:w="2588" w:type="dxa"/>
            <w:vAlign w:val="center"/>
          </w:tcPr>
          <w:p w14:paraId="7AD163D6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Proyectar y remitir memorando de delegación de supervisión</w:t>
            </w:r>
          </w:p>
        </w:tc>
        <w:tc>
          <w:tcPr>
            <w:tcW w:w="1724" w:type="dxa"/>
            <w:vAlign w:val="center"/>
          </w:tcPr>
          <w:p w14:paraId="7B8117D7" w14:textId="7E152668" w:rsidR="000131F8" w:rsidRPr="006E4090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Secretaria </w:t>
            </w:r>
            <w:r w:rsidRPr="006E4090">
              <w:rPr>
                <w:rFonts w:ascii="Arial" w:hAnsi="Arial" w:cs="Arial"/>
              </w:rPr>
              <w:t>Oficina Asesora Jurídica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24" w:type="dxa"/>
            <w:vAlign w:val="center"/>
          </w:tcPr>
          <w:p w14:paraId="011F5D39" w14:textId="172D04E0" w:rsidR="000131F8" w:rsidRPr="006E4090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 del contrato</w:t>
            </w:r>
          </w:p>
        </w:tc>
        <w:tc>
          <w:tcPr>
            <w:tcW w:w="1724" w:type="dxa"/>
            <w:vAlign w:val="center"/>
          </w:tcPr>
          <w:p w14:paraId="65CC7065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Sistema Orfeo</w:t>
            </w:r>
          </w:p>
        </w:tc>
        <w:tc>
          <w:tcPr>
            <w:tcW w:w="1697" w:type="dxa"/>
            <w:vAlign w:val="center"/>
          </w:tcPr>
          <w:p w14:paraId="082C6AF0" w14:textId="3520BE65" w:rsidR="000131F8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Memorando de delegación</w:t>
            </w:r>
          </w:p>
          <w:p w14:paraId="44350B4C" w14:textId="77777777" w:rsidR="00517DFE" w:rsidRPr="006E4090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1CDCEAD" w14:textId="77777777" w:rsidR="000131F8" w:rsidRPr="006E4090" w:rsidRDefault="000131F8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17DFE" w:rsidRPr="006E4090" w14:paraId="3EC5719E" w14:textId="77777777" w:rsidTr="00BA73DC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vAlign w:val="center"/>
          </w:tcPr>
          <w:p w14:paraId="21B066E6" w14:textId="379A7BBA" w:rsidR="00517DFE" w:rsidRPr="006E4090" w:rsidRDefault="00517DFE" w:rsidP="000131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88" w:type="dxa"/>
            <w:vAlign w:val="center"/>
          </w:tcPr>
          <w:p w14:paraId="07685728" w14:textId="2CA56741" w:rsidR="00517DFE" w:rsidRPr="006152D1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2D1">
              <w:rPr>
                <w:rFonts w:ascii="Arial" w:hAnsi="Arial" w:cs="Arial"/>
              </w:rPr>
              <w:t>Proyectar y remitir memorando de inicio de ejecución.</w:t>
            </w:r>
          </w:p>
        </w:tc>
        <w:tc>
          <w:tcPr>
            <w:tcW w:w="1724" w:type="dxa"/>
            <w:vAlign w:val="center"/>
          </w:tcPr>
          <w:p w14:paraId="48E44597" w14:textId="50C457E3" w:rsidR="00517DFE" w:rsidRPr="006152D1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2D1">
              <w:rPr>
                <w:rFonts w:ascii="Arial" w:hAnsi="Arial" w:cs="Arial"/>
              </w:rPr>
              <w:t>Secretaria Oficina Asesora Jurídica</w:t>
            </w:r>
          </w:p>
        </w:tc>
        <w:tc>
          <w:tcPr>
            <w:tcW w:w="1724" w:type="dxa"/>
            <w:vAlign w:val="center"/>
          </w:tcPr>
          <w:p w14:paraId="784E8433" w14:textId="4C1CA7A6" w:rsidR="00517DFE" w:rsidRPr="006152D1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2D1">
              <w:rPr>
                <w:rFonts w:ascii="Arial" w:hAnsi="Arial" w:cs="Arial"/>
              </w:rPr>
              <w:t>Grupo administrativo y financiera</w:t>
            </w:r>
          </w:p>
        </w:tc>
        <w:tc>
          <w:tcPr>
            <w:tcW w:w="1724" w:type="dxa"/>
            <w:vAlign w:val="center"/>
          </w:tcPr>
          <w:p w14:paraId="77328A44" w14:textId="35D8A273" w:rsidR="00517DFE" w:rsidRPr="006152D1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2D1">
              <w:rPr>
                <w:rFonts w:ascii="Arial" w:hAnsi="Arial" w:cs="Arial"/>
              </w:rPr>
              <w:t>Sistema Orfeo</w:t>
            </w:r>
          </w:p>
        </w:tc>
        <w:tc>
          <w:tcPr>
            <w:tcW w:w="1697" w:type="dxa"/>
            <w:vAlign w:val="center"/>
          </w:tcPr>
          <w:p w14:paraId="419337B8" w14:textId="47CD6A4E" w:rsidR="00517DFE" w:rsidRDefault="00517DFE" w:rsidP="0051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 xml:space="preserve">Memorando </w:t>
            </w:r>
          </w:p>
          <w:p w14:paraId="68EF48B7" w14:textId="1AFB9BC3" w:rsidR="00517DFE" w:rsidRPr="006E4090" w:rsidRDefault="00517DFE" w:rsidP="0001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7CDB6AF" w14:textId="7C969BBD" w:rsidR="00C454C0" w:rsidRDefault="005663AA" w:rsidP="006E4090">
      <w:pPr>
        <w:pStyle w:val="Ttulo2"/>
        <w:spacing w:before="240" w:after="240"/>
        <w:ind w:left="0"/>
        <w:rPr>
          <w:sz w:val="24"/>
        </w:rPr>
      </w:pPr>
      <w:r w:rsidRPr="006E4090">
        <w:rPr>
          <w:sz w:val="24"/>
        </w:rPr>
        <w:t xml:space="preserve">8. </w:t>
      </w:r>
      <w:r w:rsidR="00C454C0" w:rsidRPr="006E4090">
        <w:rPr>
          <w:sz w:val="24"/>
        </w:rPr>
        <w:t xml:space="preserve">DOCUMENTOS </w:t>
      </w:r>
      <w:r w:rsidR="00306486" w:rsidRPr="006E4090">
        <w:rPr>
          <w:sz w:val="24"/>
        </w:rPr>
        <w:t>ASOCIADOS A</w:t>
      </w:r>
      <w:r w:rsidR="00C454C0" w:rsidRPr="006E4090">
        <w:rPr>
          <w:sz w:val="24"/>
        </w:rPr>
        <w:t>L PROCEDIMIENTO</w:t>
      </w:r>
    </w:p>
    <w:p w14:paraId="38E19DBE" w14:textId="4B85C7D1" w:rsidR="00517DFE" w:rsidRDefault="00517DFE" w:rsidP="00517DFE">
      <w:pPr>
        <w:rPr>
          <w:rFonts w:ascii="Arial" w:hAnsi="Arial" w:cs="Arial"/>
        </w:rPr>
      </w:pPr>
      <w:r w:rsidRPr="00580C72">
        <w:rPr>
          <w:rFonts w:ascii="Arial" w:hAnsi="Arial" w:cs="Arial"/>
          <w:color w:val="FF0000"/>
        </w:rPr>
        <w:t>Formato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Pr="00580C72">
        <w:rPr>
          <w:rFonts w:ascii="Arial" w:hAnsi="Arial" w:cs="Arial"/>
        </w:rPr>
        <w:t>erificacion</w:t>
      </w:r>
      <w:proofErr w:type="spellEnd"/>
      <w:r w:rsidRPr="00580C72">
        <w:rPr>
          <w:rFonts w:ascii="Arial" w:hAnsi="Arial" w:cs="Arial"/>
        </w:rPr>
        <w:t xml:space="preserve"> de existencia de elementos en el </w:t>
      </w:r>
      <w:proofErr w:type="spellStart"/>
      <w:r w:rsidRPr="00580C72">
        <w:rPr>
          <w:rFonts w:ascii="Arial" w:hAnsi="Arial" w:cs="Arial"/>
        </w:rPr>
        <w:t>almacen</w:t>
      </w:r>
      <w:proofErr w:type="spellEnd"/>
    </w:p>
    <w:p w14:paraId="582A6BCF" w14:textId="77777777" w:rsidR="00517DFE" w:rsidRDefault="00517DFE" w:rsidP="00517DFE">
      <w:pPr>
        <w:rPr>
          <w:rFonts w:ascii="Arial" w:eastAsia="Calibri" w:hAnsi="Arial" w:cs="Arial"/>
          <w:bCs/>
          <w:spacing w:val="-6"/>
        </w:rPr>
      </w:pPr>
      <w:r w:rsidRPr="006E4090">
        <w:rPr>
          <w:rFonts w:ascii="Arial" w:hAnsi="Arial" w:cs="Arial"/>
        </w:rPr>
        <w:t xml:space="preserve">Formato de solicitud </w:t>
      </w:r>
      <w:r w:rsidRPr="009F4153">
        <w:rPr>
          <w:rFonts w:ascii="Arial" w:eastAsia="Calibri" w:hAnsi="Arial" w:cs="Arial"/>
          <w:bCs/>
          <w:spacing w:val="-6"/>
        </w:rPr>
        <w:t>Certificado</w:t>
      </w:r>
      <w:r>
        <w:rPr>
          <w:rFonts w:ascii="Arial" w:eastAsia="Calibri" w:hAnsi="Arial" w:cs="Arial"/>
          <w:bCs/>
          <w:spacing w:val="-6"/>
        </w:rPr>
        <w:t xml:space="preserve"> de Disponibilidad Presupuestal</w:t>
      </w:r>
      <w:r w:rsidRPr="006E4090">
        <w:rPr>
          <w:rFonts w:ascii="Arial" w:eastAsia="Calibri" w:hAnsi="Arial" w:cs="Arial"/>
          <w:bCs/>
          <w:spacing w:val="-6"/>
        </w:rPr>
        <w:t xml:space="preserve"> </w:t>
      </w:r>
    </w:p>
    <w:p w14:paraId="62FFCEB6" w14:textId="427D336B" w:rsidR="00517DFE" w:rsidRDefault="00517DFE" w:rsidP="00517DFE">
      <w:pPr>
        <w:rPr>
          <w:rFonts w:ascii="Arial" w:hAnsi="Arial" w:cs="Arial"/>
        </w:rPr>
      </w:pPr>
      <w:r w:rsidRPr="006E4090">
        <w:rPr>
          <w:rFonts w:ascii="Arial" w:hAnsi="Arial" w:cs="Arial"/>
        </w:rPr>
        <w:t>Formato</w:t>
      </w:r>
      <w:r>
        <w:rPr>
          <w:rFonts w:ascii="Arial" w:hAnsi="Arial" w:cs="Arial"/>
        </w:rPr>
        <w:t xml:space="preserve"> Lista de Chequeo Convocatorias Publicas</w:t>
      </w:r>
    </w:p>
    <w:p w14:paraId="3ED50914" w14:textId="045C78BB" w:rsidR="00517DFE" w:rsidRPr="006E4090" w:rsidRDefault="00517DFE" w:rsidP="00517DFE">
      <w:pPr>
        <w:rPr>
          <w:rFonts w:ascii="Arial" w:hAnsi="Arial" w:cs="Arial"/>
        </w:rPr>
      </w:pPr>
      <w:r w:rsidRPr="006E4090">
        <w:rPr>
          <w:rFonts w:ascii="Arial" w:hAnsi="Arial" w:cs="Arial"/>
        </w:rPr>
        <w:t>Formato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Invitacion</w:t>
      </w:r>
      <w:proofErr w:type="spellEnd"/>
      <w:r>
        <w:rPr>
          <w:rFonts w:ascii="Arial" w:hAnsi="Arial" w:cs="Arial"/>
        </w:rPr>
        <w:t xml:space="preserve"> Publica para Presentar Oferta.</w:t>
      </w:r>
    </w:p>
    <w:p w14:paraId="02E2F402" w14:textId="57B79D15" w:rsidR="00517DFE" w:rsidRDefault="00517DFE" w:rsidP="00517DFE">
      <w:pPr>
        <w:rPr>
          <w:rFonts w:ascii="Arial" w:eastAsia="Calibri" w:hAnsi="Arial" w:cs="Arial"/>
          <w:bCs/>
          <w:spacing w:val="-6"/>
        </w:rPr>
      </w:pPr>
      <w:r w:rsidRPr="006E4090">
        <w:rPr>
          <w:rFonts w:ascii="Arial" w:eastAsia="Calibri" w:hAnsi="Arial" w:cs="Arial"/>
          <w:bCs/>
          <w:spacing w:val="-6"/>
        </w:rPr>
        <w:t xml:space="preserve">Formato </w:t>
      </w:r>
      <w:r>
        <w:rPr>
          <w:rFonts w:ascii="Arial" w:eastAsia="Calibri" w:hAnsi="Arial" w:cs="Arial"/>
          <w:bCs/>
          <w:spacing w:val="-6"/>
        </w:rPr>
        <w:t xml:space="preserve">Informe de </w:t>
      </w:r>
      <w:proofErr w:type="spellStart"/>
      <w:r>
        <w:rPr>
          <w:rFonts w:ascii="Arial" w:eastAsia="Calibri" w:hAnsi="Arial" w:cs="Arial"/>
          <w:bCs/>
          <w:spacing w:val="-6"/>
        </w:rPr>
        <w:t>Verificacion</w:t>
      </w:r>
      <w:proofErr w:type="spellEnd"/>
      <w:r>
        <w:rPr>
          <w:rFonts w:ascii="Arial" w:eastAsia="Calibri" w:hAnsi="Arial" w:cs="Arial"/>
          <w:bCs/>
          <w:spacing w:val="-6"/>
        </w:rPr>
        <w:t xml:space="preserve"> </w:t>
      </w:r>
      <w:r w:rsidRPr="00FE34BD">
        <w:rPr>
          <w:rFonts w:ascii="Arial" w:eastAsia="Calibri" w:hAnsi="Arial" w:cs="Arial"/>
          <w:bCs/>
          <w:spacing w:val="-6"/>
        </w:rPr>
        <w:t xml:space="preserve">de requisitos </w:t>
      </w:r>
      <w:proofErr w:type="spellStart"/>
      <w:r w:rsidRPr="00FE34BD">
        <w:rPr>
          <w:rFonts w:ascii="Arial" w:eastAsia="Calibri" w:hAnsi="Arial" w:cs="Arial"/>
          <w:bCs/>
          <w:spacing w:val="-6"/>
        </w:rPr>
        <w:t>minimos</w:t>
      </w:r>
      <w:proofErr w:type="spellEnd"/>
      <w:r w:rsidRPr="00FE34BD">
        <w:rPr>
          <w:rFonts w:ascii="Arial" w:eastAsia="Calibri" w:hAnsi="Arial" w:cs="Arial"/>
          <w:bCs/>
          <w:spacing w:val="-6"/>
        </w:rPr>
        <w:t xml:space="preserve"> habilitantes</w:t>
      </w:r>
    </w:p>
    <w:p w14:paraId="3A121CDA" w14:textId="69935987" w:rsidR="00517DFE" w:rsidRPr="006E4090" w:rsidRDefault="00517DFE" w:rsidP="00517DFE">
      <w:pPr>
        <w:rPr>
          <w:rFonts w:ascii="Arial" w:eastAsia="Calibri" w:hAnsi="Arial" w:cs="Arial"/>
          <w:bCs/>
          <w:spacing w:val="-6"/>
        </w:rPr>
      </w:pPr>
      <w:r w:rsidRPr="006E4090">
        <w:rPr>
          <w:rFonts w:ascii="Arial" w:eastAsia="Calibri" w:hAnsi="Arial" w:cs="Arial"/>
          <w:bCs/>
          <w:spacing w:val="-6"/>
        </w:rPr>
        <w:t xml:space="preserve">Formato </w:t>
      </w:r>
      <w:r>
        <w:rPr>
          <w:rFonts w:ascii="Arial" w:eastAsia="Calibri" w:hAnsi="Arial" w:cs="Arial"/>
          <w:bCs/>
          <w:spacing w:val="-6"/>
        </w:rPr>
        <w:t xml:space="preserve">Anexo Carta de </w:t>
      </w:r>
      <w:proofErr w:type="spellStart"/>
      <w:r>
        <w:rPr>
          <w:rFonts w:ascii="Arial" w:eastAsia="Calibri" w:hAnsi="Arial" w:cs="Arial"/>
          <w:bCs/>
          <w:spacing w:val="-6"/>
        </w:rPr>
        <w:t>Aceptacion</w:t>
      </w:r>
      <w:proofErr w:type="spellEnd"/>
      <w:r>
        <w:rPr>
          <w:rFonts w:ascii="Arial" w:eastAsia="Calibri" w:hAnsi="Arial" w:cs="Arial"/>
          <w:bCs/>
          <w:spacing w:val="-6"/>
        </w:rPr>
        <w:t xml:space="preserve"> Oferta</w:t>
      </w:r>
    </w:p>
    <w:p w14:paraId="1D7DC242" w14:textId="77777777" w:rsidR="00517DFE" w:rsidRPr="006E4090" w:rsidRDefault="00517DFE" w:rsidP="00517DFE">
      <w:pPr>
        <w:rPr>
          <w:rFonts w:ascii="Arial" w:hAnsi="Arial" w:cs="Arial"/>
        </w:rPr>
      </w:pPr>
      <w:r w:rsidRPr="006E4090">
        <w:rPr>
          <w:rFonts w:ascii="Arial" w:hAnsi="Arial" w:cs="Arial"/>
        </w:rPr>
        <w:t xml:space="preserve">Formato de aprobación de </w:t>
      </w:r>
      <w:proofErr w:type="spellStart"/>
      <w:r>
        <w:rPr>
          <w:rFonts w:ascii="Arial" w:hAnsi="Arial" w:cs="Arial"/>
        </w:rPr>
        <w:t>Polizas</w:t>
      </w:r>
      <w:proofErr w:type="spellEnd"/>
      <w:r w:rsidRPr="006E4090">
        <w:rPr>
          <w:rFonts w:ascii="Arial" w:hAnsi="Arial" w:cs="Arial"/>
        </w:rPr>
        <w:t>.</w:t>
      </w:r>
    </w:p>
    <w:p w14:paraId="664F68C0" w14:textId="77777777" w:rsidR="00517DFE" w:rsidRDefault="00517DFE" w:rsidP="00517DFE">
      <w:pPr>
        <w:rPr>
          <w:rFonts w:ascii="Arial" w:hAnsi="Arial" w:cs="Arial"/>
        </w:rPr>
      </w:pPr>
    </w:p>
    <w:p w14:paraId="3A828034" w14:textId="77777777" w:rsidR="00EB0E97" w:rsidRPr="006E4090" w:rsidRDefault="005663AA" w:rsidP="006E4090">
      <w:pPr>
        <w:pStyle w:val="Ttulo2"/>
        <w:spacing w:before="240"/>
        <w:ind w:left="0"/>
        <w:rPr>
          <w:sz w:val="24"/>
        </w:rPr>
      </w:pPr>
      <w:r w:rsidRPr="006E4090">
        <w:rPr>
          <w:sz w:val="24"/>
        </w:rPr>
        <w:t xml:space="preserve">9. </w:t>
      </w:r>
      <w:r w:rsidR="00EB0E97" w:rsidRPr="006E4090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694"/>
        <w:gridCol w:w="3871"/>
      </w:tblGrid>
      <w:tr w:rsidR="006E4090" w:rsidRPr="006E4090" w14:paraId="7B76A89C" w14:textId="77777777" w:rsidTr="00BA7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45F5C4E" w14:textId="77777777" w:rsidR="00DE32AC" w:rsidRPr="006E4090" w:rsidRDefault="00DE32AC" w:rsidP="00BA73DC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Versión</w:t>
            </w:r>
          </w:p>
        </w:tc>
        <w:tc>
          <w:tcPr>
            <w:tcW w:w="2268" w:type="dxa"/>
            <w:vAlign w:val="center"/>
          </w:tcPr>
          <w:p w14:paraId="092C4286" w14:textId="62A33140" w:rsidR="00DE32AC" w:rsidRPr="006E4090" w:rsidRDefault="00DE32AC" w:rsidP="00BA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Fecha de Entrada en Vigencia del Procedimiento</w:t>
            </w:r>
          </w:p>
        </w:tc>
        <w:tc>
          <w:tcPr>
            <w:tcW w:w="2694" w:type="dxa"/>
            <w:vAlign w:val="center"/>
          </w:tcPr>
          <w:p w14:paraId="0C9F370B" w14:textId="77777777" w:rsidR="00DE32AC" w:rsidRPr="006E4090" w:rsidRDefault="00DE32AC" w:rsidP="00BA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3871" w:type="dxa"/>
            <w:vAlign w:val="center"/>
          </w:tcPr>
          <w:p w14:paraId="039A4ECA" w14:textId="77777777" w:rsidR="00DE32AC" w:rsidRPr="006E4090" w:rsidRDefault="00DE32AC" w:rsidP="00BA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Naturaleza Del Cambio</w:t>
            </w:r>
          </w:p>
        </w:tc>
      </w:tr>
      <w:tr w:rsidR="006E4090" w:rsidRPr="006E4090" w14:paraId="72DA8B4C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6B20A0C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77167517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02</w:t>
            </w:r>
            <w:r w:rsidR="006E4090">
              <w:rPr>
                <w:rFonts w:ascii="Arial" w:hAnsi="Arial" w:cs="Arial"/>
                <w:bCs/>
                <w:szCs w:val="22"/>
              </w:rPr>
              <w:t>-</w:t>
            </w:r>
            <w:r w:rsidRPr="006E4090">
              <w:rPr>
                <w:rFonts w:ascii="Arial" w:hAnsi="Arial" w:cs="Arial"/>
                <w:bCs/>
                <w:szCs w:val="22"/>
              </w:rPr>
              <w:t>08</w:t>
            </w:r>
            <w:r w:rsidR="006E4090">
              <w:rPr>
                <w:rFonts w:ascii="Arial" w:hAnsi="Arial" w:cs="Arial"/>
                <w:bCs/>
                <w:szCs w:val="22"/>
              </w:rPr>
              <w:t>-</w:t>
            </w:r>
            <w:r w:rsidRPr="006E4090">
              <w:rPr>
                <w:rFonts w:ascii="Arial" w:hAnsi="Arial" w:cs="Arial"/>
                <w:bCs/>
                <w:szCs w:val="22"/>
              </w:rPr>
              <w:t>2011</w:t>
            </w:r>
          </w:p>
        </w:tc>
        <w:tc>
          <w:tcPr>
            <w:tcW w:w="2694" w:type="dxa"/>
            <w:vAlign w:val="center"/>
          </w:tcPr>
          <w:p w14:paraId="64E5F5CF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No aplica por ser versión inicial</w:t>
            </w:r>
          </w:p>
        </w:tc>
        <w:tc>
          <w:tcPr>
            <w:tcW w:w="3871" w:type="dxa"/>
            <w:vAlign w:val="center"/>
          </w:tcPr>
          <w:p w14:paraId="57656034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E4090">
              <w:rPr>
                <w:rFonts w:ascii="Arial" w:hAnsi="Arial" w:cs="Arial"/>
                <w:szCs w:val="22"/>
              </w:rPr>
              <w:t>Adopción del procedimiento</w:t>
            </w:r>
          </w:p>
        </w:tc>
      </w:tr>
      <w:tr w:rsidR="006E4090" w:rsidRPr="006E4090" w14:paraId="030281F7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144751B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4A41C16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29/03/2012</w:t>
            </w:r>
          </w:p>
        </w:tc>
        <w:tc>
          <w:tcPr>
            <w:tcW w:w="2694" w:type="dxa"/>
            <w:vAlign w:val="center"/>
          </w:tcPr>
          <w:p w14:paraId="631AE763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Sección 5 descripción</w:t>
            </w:r>
          </w:p>
        </w:tc>
        <w:tc>
          <w:tcPr>
            <w:tcW w:w="3871" w:type="dxa"/>
            <w:vAlign w:val="center"/>
          </w:tcPr>
          <w:p w14:paraId="17F4FC75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 xml:space="preserve">Se cambió el momento y los responsables de la solicitud de </w:t>
            </w:r>
            <w:r w:rsidRPr="006E4090">
              <w:rPr>
                <w:rFonts w:ascii="Arial" w:hAnsi="Arial" w:cs="Arial"/>
                <w:bCs/>
                <w:szCs w:val="22"/>
              </w:rPr>
              <w:lastRenderedPageBreak/>
              <w:t>certificación de existencia o insuficiencia de personal a Gestión humana</w:t>
            </w:r>
          </w:p>
        </w:tc>
      </w:tr>
      <w:tr w:rsidR="006E4090" w:rsidRPr="006E4090" w14:paraId="61D931F3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778152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14:paraId="6174F385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14/11/2012</w:t>
            </w:r>
          </w:p>
        </w:tc>
        <w:tc>
          <w:tcPr>
            <w:tcW w:w="2694" w:type="dxa"/>
            <w:vAlign w:val="center"/>
          </w:tcPr>
          <w:p w14:paraId="27B9A3DE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Secciones 2 políticas de operación, 4 definiciones, 5 descripción y 6 anexos</w:t>
            </w:r>
          </w:p>
        </w:tc>
        <w:tc>
          <w:tcPr>
            <w:tcW w:w="3871" w:type="dxa"/>
            <w:vAlign w:val="center"/>
          </w:tcPr>
          <w:p w14:paraId="34CABB47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Actualización normativa, inclusión de políticas de operación, actualización de definiciones,</w:t>
            </w:r>
            <w:r w:rsidR="00EB6EAC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6E4090">
              <w:rPr>
                <w:rFonts w:ascii="Arial" w:hAnsi="Arial" w:cs="Arial"/>
                <w:bCs/>
                <w:szCs w:val="22"/>
              </w:rPr>
              <w:t>modificación al procedimiento y eliminación de anexo formato hoja de vida.</w:t>
            </w:r>
          </w:p>
        </w:tc>
      </w:tr>
      <w:tr w:rsidR="006E4090" w:rsidRPr="006E4090" w14:paraId="5C213FF1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79935FF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24A0052B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31/12/2013</w:t>
            </w:r>
          </w:p>
        </w:tc>
        <w:tc>
          <w:tcPr>
            <w:tcW w:w="2694" w:type="dxa"/>
            <w:vAlign w:val="center"/>
          </w:tcPr>
          <w:p w14:paraId="2F6B5DBB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Secciones 2 políticas de operación, 4 definiciones, 5 descripción y 6 anexos</w:t>
            </w:r>
          </w:p>
        </w:tc>
        <w:tc>
          <w:tcPr>
            <w:tcW w:w="3871" w:type="dxa"/>
            <w:vAlign w:val="center"/>
          </w:tcPr>
          <w:p w14:paraId="0B55E4B3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Actualización normativa, actualización de definiciones.</w:t>
            </w:r>
          </w:p>
        </w:tc>
      </w:tr>
      <w:tr w:rsidR="006E4090" w:rsidRPr="006E4090" w14:paraId="19EB37D4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4240AAE" w14:textId="77777777" w:rsidR="00C51332" w:rsidRPr="006E4090" w:rsidRDefault="00C51332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vAlign w:val="center"/>
          </w:tcPr>
          <w:p w14:paraId="27564EED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10/10/2018</w:t>
            </w:r>
          </w:p>
        </w:tc>
        <w:tc>
          <w:tcPr>
            <w:tcW w:w="2694" w:type="dxa"/>
            <w:vAlign w:val="center"/>
          </w:tcPr>
          <w:p w14:paraId="60EFEC2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Sección 2, procedimiento bajo nuevo SECOP 2, Actividades evaluación de las ofertas 17, y 7 anexos</w:t>
            </w:r>
          </w:p>
        </w:tc>
        <w:tc>
          <w:tcPr>
            <w:tcW w:w="3871" w:type="dxa"/>
            <w:vAlign w:val="center"/>
          </w:tcPr>
          <w:p w14:paraId="223B0F3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Actualización normativa, del decreto 1510 de 2013 a 1082 de 2015.</w:t>
            </w:r>
          </w:p>
          <w:p w14:paraId="3BC8EFD2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Ajuste nuevos formatos. Eliminación anexo Formato de Verificación de Existencia de Elementos en el Almacén.</w:t>
            </w:r>
          </w:p>
          <w:p w14:paraId="548CEDD6" w14:textId="77777777" w:rsidR="00C51332" w:rsidRPr="006E4090" w:rsidRDefault="00C51332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2"/>
              </w:rPr>
            </w:pPr>
            <w:r w:rsidRPr="006E4090">
              <w:rPr>
                <w:rFonts w:ascii="Arial" w:hAnsi="Arial" w:cs="Arial"/>
                <w:bCs/>
                <w:szCs w:val="22"/>
              </w:rPr>
              <w:t>Incorporación de estudios de sector.</w:t>
            </w:r>
          </w:p>
        </w:tc>
      </w:tr>
      <w:tr w:rsidR="006E4090" w:rsidRPr="006E4090" w14:paraId="15D7006A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B87E3DE" w14:textId="77777777" w:rsidR="00DE32AC" w:rsidRPr="006E4090" w:rsidRDefault="00DE32AC" w:rsidP="00BA73DC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  <w:bCs w:val="0"/>
              </w:rPr>
              <w:t>6</w:t>
            </w:r>
          </w:p>
        </w:tc>
        <w:tc>
          <w:tcPr>
            <w:tcW w:w="2268" w:type="dxa"/>
            <w:vAlign w:val="center"/>
          </w:tcPr>
          <w:p w14:paraId="11E0FE40" w14:textId="77777777" w:rsidR="00DE32AC" w:rsidRPr="006E4090" w:rsidRDefault="00DE32A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05/07/2019</w:t>
            </w:r>
          </w:p>
        </w:tc>
        <w:tc>
          <w:tcPr>
            <w:tcW w:w="2694" w:type="dxa"/>
            <w:vAlign w:val="center"/>
          </w:tcPr>
          <w:p w14:paraId="7DB7C412" w14:textId="77777777" w:rsidR="00DE32AC" w:rsidRPr="006E4090" w:rsidRDefault="00DE32A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3871" w:type="dxa"/>
            <w:vAlign w:val="center"/>
          </w:tcPr>
          <w:p w14:paraId="6278509C" w14:textId="77777777" w:rsidR="00DE32AC" w:rsidRPr="006E4090" w:rsidRDefault="00DE32A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>Se actualizó objetivo, alcance, políticas de operación, actividades y se incorporó la accesibilidad del documento.</w:t>
            </w:r>
          </w:p>
        </w:tc>
      </w:tr>
      <w:tr w:rsidR="00BA73DC" w:rsidRPr="006E4090" w14:paraId="0984F8D4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56876DE" w14:textId="303C314F" w:rsidR="00BA73DC" w:rsidRPr="006E4090" w:rsidRDefault="00BA73DC" w:rsidP="00BA7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7</w:t>
            </w:r>
          </w:p>
        </w:tc>
        <w:tc>
          <w:tcPr>
            <w:tcW w:w="2268" w:type="dxa"/>
            <w:vAlign w:val="center"/>
          </w:tcPr>
          <w:p w14:paraId="33A4DB85" w14:textId="5CE6033C" w:rsidR="00BA73DC" w:rsidRPr="006E4090" w:rsidRDefault="0067481B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/2020</w:t>
            </w:r>
          </w:p>
        </w:tc>
        <w:tc>
          <w:tcPr>
            <w:tcW w:w="2694" w:type="dxa"/>
            <w:vAlign w:val="center"/>
          </w:tcPr>
          <w:p w14:paraId="568651FC" w14:textId="3834C996" w:rsidR="00BA73DC" w:rsidRPr="006E4090" w:rsidRDefault="00BA73D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Politicas</w:t>
            </w:r>
            <w:proofErr w:type="spellEnd"/>
            <w:r>
              <w:rPr>
                <w:rFonts w:ascii="Arial" w:hAnsi="Arial" w:cs="Arial"/>
                <w:bCs/>
              </w:rPr>
              <w:t xml:space="preserve"> y actividades 3</w:t>
            </w:r>
          </w:p>
        </w:tc>
        <w:tc>
          <w:tcPr>
            <w:tcW w:w="3871" w:type="dxa"/>
            <w:vAlign w:val="center"/>
          </w:tcPr>
          <w:p w14:paraId="7A041420" w14:textId="26CC7CCC" w:rsidR="00BA73DC" w:rsidRPr="006E4090" w:rsidRDefault="00BA73DC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E4090">
              <w:rPr>
                <w:rFonts w:ascii="Arial" w:hAnsi="Arial" w:cs="Arial"/>
                <w:bCs/>
              </w:rPr>
              <w:t xml:space="preserve">Se actualizó </w:t>
            </w:r>
            <w:r>
              <w:rPr>
                <w:rFonts w:ascii="Arial" w:hAnsi="Arial" w:cs="Arial"/>
                <w:bCs/>
              </w:rPr>
              <w:t>las</w:t>
            </w:r>
            <w:r w:rsidRPr="006E4090">
              <w:rPr>
                <w:rFonts w:ascii="Arial" w:hAnsi="Arial" w:cs="Arial"/>
                <w:bCs/>
              </w:rPr>
              <w:t xml:space="preserve"> políticas de operación</w:t>
            </w:r>
            <w:r>
              <w:rPr>
                <w:rFonts w:ascii="Arial" w:hAnsi="Arial" w:cs="Arial"/>
                <w:bCs/>
              </w:rPr>
              <w:t xml:space="preserve"> y</w:t>
            </w:r>
            <w:r w:rsidRPr="006E4090">
              <w:rPr>
                <w:rFonts w:ascii="Arial" w:hAnsi="Arial" w:cs="Arial"/>
                <w:bCs/>
              </w:rPr>
              <w:t xml:space="preserve"> actividades</w:t>
            </w:r>
            <w:r>
              <w:rPr>
                <w:rFonts w:ascii="Arial" w:hAnsi="Arial" w:cs="Arial"/>
                <w:bCs/>
              </w:rPr>
              <w:t xml:space="preserve"> del procedimiento.</w:t>
            </w:r>
          </w:p>
        </w:tc>
      </w:tr>
      <w:tr w:rsidR="00517DFE" w:rsidRPr="006E4090" w14:paraId="3B1DD195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AFA8F8C" w14:textId="01FE0757" w:rsidR="00517DFE" w:rsidRDefault="00517DFE" w:rsidP="00BA7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vAlign w:val="center"/>
          </w:tcPr>
          <w:p w14:paraId="6961C48D" w14:textId="521CD144" w:rsidR="00517DFE" w:rsidRPr="006A7EC1" w:rsidRDefault="006152D1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  <w:lang w:val="es-CO"/>
              </w:rPr>
            </w:pPr>
            <w:r w:rsidRPr="006152D1">
              <w:rPr>
                <w:rFonts w:ascii="Arial" w:hAnsi="Arial" w:cs="Arial"/>
                <w:bCs/>
                <w:spacing w:val="-6"/>
                <w:lang w:val="es-CO"/>
              </w:rPr>
              <w:t>26/07/2022</w:t>
            </w:r>
          </w:p>
        </w:tc>
        <w:tc>
          <w:tcPr>
            <w:tcW w:w="2694" w:type="dxa"/>
            <w:vAlign w:val="center"/>
          </w:tcPr>
          <w:p w14:paraId="66BE3521" w14:textId="1470B45B" w:rsidR="00517DFE" w:rsidRDefault="006152D1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Politcas</w:t>
            </w:r>
            <w:proofErr w:type="spellEnd"/>
            <w:r>
              <w:rPr>
                <w:rFonts w:ascii="Arial" w:hAnsi="Arial" w:cs="Arial"/>
                <w:bCs/>
              </w:rPr>
              <w:t xml:space="preserve"> (a, e) Ciclo PHVA (4 responsables, registros formatos, actividad 20)</w:t>
            </w:r>
          </w:p>
        </w:tc>
        <w:tc>
          <w:tcPr>
            <w:tcW w:w="3871" w:type="dxa"/>
            <w:vAlign w:val="center"/>
          </w:tcPr>
          <w:p w14:paraId="2A092003" w14:textId="0E182D22" w:rsidR="00517DFE" w:rsidRPr="006E4090" w:rsidRDefault="00517DFE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 actualizaron las actividades y los registros y formatos </w:t>
            </w:r>
          </w:p>
        </w:tc>
      </w:tr>
      <w:tr w:rsidR="00B52267" w:rsidRPr="006E4090" w14:paraId="02A13983" w14:textId="77777777" w:rsidTr="00BA7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531E6E1" w14:textId="7E2818C0" w:rsidR="00B52267" w:rsidRDefault="00B52267" w:rsidP="00BA7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vAlign w:val="center"/>
          </w:tcPr>
          <w:p w14:paraId="26732580" w14:textId="02250FD6" w:rsidR="00B52267" w:rsidRPr="006152D1" w:rsidRDefault="00B52267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21/12/2019</w:t>
            </w:r>
          </w:p>
        </w:tc>
        <w:tc>
          <w:tcPr>
            <w:tcW w:w="2694" w:type="dxa"/>
            <w:vAlign w:val="center"/>
          </w:tcPr>
          <w:p w14:paraId="422A5FA2" w14:textId="07C2FB10" w:rsidR="00B52267" w:rsidRDefault="00B52267" w:rsidP="00B5226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modifica el </w:t>
            </w:r>
            <w:r w:rsidRPr="00B52267">
              <w:rPr>
                <w:rFonts w:ascii="Arial" w:hAnsi="Arial" w:cs="Arial"/>
              </w:rPr>
              <w:t>OAJ -102-GC-PD-071</w:t>
            </w:r>
            <w:r>
              <w:rPr>
                <w:rFonts w:ascii="Arial" w:hAnsi="Arial" w:cs="Arial"/>
              </w:rPr>
              <w:t xml:space="preserve"> versión 8 con ultima vigencia </w:t>
            </w:r>
            <w:r w:rsidRPr="00B52267">
              <w:rPr>
                <w:rFonts w:ascii="Arial" w:hAnsi="Arial" w:cs="Arial"/>
              </w:rPr>
              <w:t>26/07/2022</w:t>
            </w:r>
            <w:r w:rsidRPr="00804CA3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a </w:t>
            </w:r>
            <w:r w:rsidR="00804CA3">
              <w:rPr>
                <w:rFonts w:ascii="Arial" w:hAnsi="Arial" w:cs="Arial"/>
              </w:rPr>
              <w:t xml:space="preserve"> </w:t>
            </w:r>
            <w:r w:rsidR="00804CA3" w:rsidRPr="00804CA3">
              <w:rPr>
                <w:rFonts w:ascii="Arial" w:hAnsi="Arial" w:cs="Arial"/>
              </w:rPr>
              <w:t>OAJ</w:t>
            </w:r>
            <w:proofErr w:type="gramEnd"/>
            <w:r w:rsidR="00804CA3" w:rsidRPr="00804CA3">
              <w:rPr>
                <w:rFonts w:ascii="Arial" w:hAnsi="Arial" w:cs="Arial"/>
              </w:rPr>
              <w:t xml:space="preserve">-102-GC-PD-0025 </w:t>
            </w:r>
            <w:r w:rsidRPr="00804CA3">
              <w:rPr>
                <w:rFonts w:ascii="Arial" w:hAnsi="Arial" w:cs="Arial"/>
              </w:rPr>
              <w:t>versión 0001</w:t>
            </w:r>
            <w:r>
              <w:rPr>
                <w:rFonts w:ascii="Arial" w:hAnsi="Arial" w:cs="Arial"/>
              </w:rPr>
              <w:t>.</w:t>
            </w:r>
          </w:p>
          <w:p w14:paraId="6EA392FB" w14:textId="77777777" w:rsidR="00B52267" w:rsidRPr="00804CA3" w:rsidRDefault="00B52267" w:rsidP="00B5226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725839" w14:textId="144A8BD1" w:rsidR="00B52267" w:rsidRPr="00804CA3" w:rsidRDefault="00B52267" w:rsidP="00B52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Modificación y adición de políticas de operación, modificación de las actividades del procedimiento, eliminación actividad </w:t>
            </w:r>
            <w:proofErr w:type="gramStart"/>
            <w:r>
              <w:rPr>
                <w:rFonts w:ascii="Arial" w:hAnsi="Arial" w:cs="Arial"/>
              </w:rPr>
              <w:t>No .</w:t>
            </w:r>
            <w:proofErr w:type="gramEnd"/>
            <w:r>
              <w:rPr>
                <w:rFonts w:ascii="Arial" w:hAnsi="Arial" w:cs="Arial"/>
              </w:rPr>
              <w:t xml:space="preserve"> 7 y modificación de los anexos asociados.</w:t>
            </w:r>
          </w:p>
        </w:tc>
        <w:tc>
          <w:tcPr>
            <w:tcW w:w="3871" w:type="dxa"/>
            <w:vAlign w:val="center"/>
          </w:tcPr>
          <w:p w14:paraId="3CDCCEDD" w14:textId="77777777" w:rsidR="00B52267" w:rsidRDefault="00B52267" w:rsidP="00B5226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Se ajusta de acuerdo con el accionar del proceso </w:t>
            </w:r>
          </w:p>
          <w:p w14:paraId="7DF8C5A7" w14:textId="77777777" w:rsidR="00B52267" w:rsidRDefault="00B52267" w:rsidP="00B5226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4BC3A1E9" w14:textId="77777777" w:rsidR="00B52267" w:rsidRDefault="00B52267" w:rsidP="00B52267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 generó nuevo código, versión y fecha por migración del procedimiento del Sistema </w:t>
            </w:r>
            <w:r>
              <w:rPr>
                <w:rFonts w:ascii="Arial" w:hAnsi="Arial" w:cs="Arial"/>
              </w:rPr>
              <w:lastRenderedPageBreak/>
              <w:t>Integrado de Gestión al nuevo Software Suite visión</w:t>
            </w:r>
          </w:p>
          <w:p w14:paraId="7FAF4970" w14:textId="77777777" w:rsidR="00B52267" w:rsidRDefault="00B52267" w:rsidP="00BA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6BB9E253" w14:textId="77777777" w:rsidR="003976DB" w:rsidRPr="006E4090" w:rsidRDefault="003976DB" w:rsidP="003976DB">
      <w:pPr>
        <w:rPr>
          <w:rFonts w:ascii="Arial" w:hAnsi="Arial" w:cs="Arial"/>
        </w:rPr>
      </w:pPr>
    </w:p>
    <w:p w14:paraId="54216126" w14:textId="77777777" w:rsidR="00F515D5" w:rsidRPr="006E4090" w:rsidRDefault="005663AA" w:rsidP="00F515D5">
      <w:pPr>
        <w:pStyle w:val="Ttulo2"/>
        <w:ind w:left="0"/>
        <w:rPr>
          <w:sz w:val="24"/>
        </w:rPr>
      </w:pPr>
      <w:r w:rsidRPr="006E4090">
        <w:rPr>
          <w:sz w:val="24"/>
        </w:rPr>
        <w:t xml:space="preserve">10. </w:t>
      </w:r>
      <w:r w:rsidR="00F515D5" w:rsidRPr="006E4090">
        <w:rPr>
          <w:sz w:val="24"/>
        </w:rPr>
        <w:t>ETAPAS DEL DOCUMENTO</w:t>
      </w:r>
    </w:p>
    <w:tbl>
      <w:tblPr>
        <w:tblStyle w:val="Tablaconcuadrcula1clara"/>
        <w:tblW w:w="9918" w:type="dxa"/>
        <w:tblLook w:val="04A0" w:firstRow="1" w:lastRow="0" w:firstColumn="1" w:lastColumn="0" w:noHBand="0" w:noVBand="1"/>
      </w:tblPr>
      <w:tblGrid>
        <w:gridCol w:w="2641"/>
        <w:gridCol w:w="4584"/>
        <w:gridCol w:w="2693"/>
      </w:tblGrid>
      <w:tr w:rsidR="006E4090" w:rsidRPr="006E4090" w14:paraId="4C592F40" w14:textId="77777777" w:rsidTr="00B20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Align w:val="center"/>
          </w:tcPr>
          <w:p w14:paraId="5086EE30" w14:textId="77777777" w:rsidR="00DE32AC" w:rsidRPr="006E4090" w:rsidRDefault="00DE32AC" w:rsidP="00D42490">
            <w:pPr>
              <w:jc w:val="center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ETAPAS DEL DOCUMENTO</w:t>
            </w:r>
          </w:p>
        </w:tc>
        <w:tc>
          <w:tcPr>
            <w:tcW w:w="4584" w:type="dxa"/>
            <w:vAlign w:val="center"/>
          </w:tcPr>
          <w:p w14:paraId="24AA729A" w14:textId="77777777" w:rsidR="00DE32AC" w:rsidRPr="006E4090" w:rsidRDefault="00DE32AC" w:rsidP="00D42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2693" w:type="dxa"/>
            <w:vAlign w:val="center"/>
          </w:tcPr>
          <w:p w14:paraId="31CCF302" w14:textId="77777777" w:rsidR="00DE32AC" w:rsidRPr="006E4090" w:rsidRDefault="00DE32AC" w:rsidP="00D42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4090">
              <w:rPr>
                <w:rFonts w:ascii="Arial" w:hAnsi="Arial" w:cs="Arial"/>
              </w:rPr>
              <w:t>FECHA</w:t>
            </w:r>
          </w:p>
        </w:tc>
      </w:tr>
      <w:tr w:rsidR="006E4090" w:rsidRPr="006E4090" w14:paraId="75E370B8" w14:textId="77777777" w:rsidTr="00D4249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2B093820" w14:textId="77777777" w:rsidR="00DE32AC" w:rsidRPr="006E4090" w:rsidRDefault="00DE32AC" w:rsidP="00D42490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Elaboración</w:t>
            </w:r>
          </w:p>
        </w:tc>
        <w:tc>
          <w:tcPr>
            <w:tcW w:w="4584" w:type="dxa"/>
          </w:tcPr>
          <w:p w14:paraId="73321766" w14:textId="5A7B81E2" w:rsidR="00DE32AC" w:rsidRPr="006E4090" w:rsidRDefault="006152D1" w:rsidP="00D4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Luz Angelica Rojas</w:t>
            </w:r>
          </w:p>
        </w:tc>
        <w:tc>
          <w:tcPr>
            <w:tcW w:w="2693" w:type="dxa"/>
          </w:tcPr>
          <w:p w14:paraId="23157BAB" w14:textId="3C2A0753" w:rsidR="00DE32AC" w:rsidRPr="006E4090" w:rsidRDefault="00385807" w:rsidP="00A41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 w:rsidR="006152D1">
              <w:rPr>
                <w:rFonts w:ascii="Arial" w:hAnsi="Arial" w:cs="Arial"/>
                <w:bCs/>
                <w:spacing w:val="-6"/>
                <w:lang w:val="es-CO"/>
              </w:rPr>
              <w:t>6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</w:t>
            </w:r>
            <w:r w:rsidR="006152D1">
              <w:rPr>
                <w:rFonts w:ascii="Arial" w:hAnsi="Arial" w:cs="Arial"/>
                <w:bCs/>
                <w:lang w:val="es-CO"/>
              </w:rPr>
              <w:t>2</w:t>
            </w:r>
          </w:p>
        </w:tc>
      </w:tr>
      <w:tr w:rsidR="006E4090" w:rsidRPr="006E4090" w14:paraId="726E11DB" w14:textId="77777777" w:rsidTr="00D4249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477FBACC" w14:textId="77777777" w:rsidR="00DE32AC" w:rsidRPr="006E4090" w:rsidRDefault="00DE32AC" w:rsidP="00D42490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Revisión</w:t>
            </w:r>
          </w:p>
        </w:tc>
        <w:tc>
          <w:tcPr>
            <w:tcW w:w="4584" w:type="dxa"/>
          </w:tcPr>
          <w:p w14:paraId="55AA9C43" w14:textId="4A9521AE" w:rsidR="00DE32AC" w:rsidRPr="006E4090" w:rsidRDefault="00385807" w:rsidP="00D4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85807">
              <w:rPr>
                <w:rFonts w:ascii="Arial" w:hAnsi="Arial" w:cs="Arial"/>
                <w:bCs/>
              </w:rPr>
              <w:t>Diego Mauricio Sánchez Ospina</w:t>
            </w:r>
          </w:p>
        </w:tc>
        <w:tc>
          <w:tcPr>
            <w:tcW w:w="2693" w:type="dxa"/>
          </w:tcPr>
          <w:p w14:paraId="37218D8C" w14:textId="10B63BAF" w:rsidR="00DE32AC" w:rsidRPr="006E4090" w:rsidRDefault="006152D1" w:rsidP="00A41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6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</w:t>
            </w:r>
            <w:r>
              <w:rPr>
                <w:rFonts w:ascii="Arial" w:hAnsi="Arial" w:cs="Arial"/>
                <w:bCs/>
                <w:lang w:val="es-CO"/>
              </w:rPr>
              <w:t>2</w:t>
            </w:r>
          </w:p>
        </w:tc>
      </w:tr>
      <w:tr w:rsidR="006E4090" w:rsidRPr="006E4090" w14:paraId="4837D8AC" w14:textId="77777777" w:rsidTr="00D4249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</w:tcPr>
          <w:p w14:paraId="68370AD4" w14:textId="77777777" w:rsidR="00DE32AC" w:rsidRPr="006E4090" w:rsidRDefault="00DE32AC" w:rsidP="00D42490">
            <w:pPr>
              <w:jc w:val="center"/>
              <w:rPr>
                <w:rFonts w:ascii="Arial" w:hAnsi="Arial" w:cs="Arial"/>
                <w:bCs w:val="0"/>
              </w:rPr>
            </w:pPr>
            <w:r w:rsidRPr="006E4090">
              <w:rPr>
                <w:rFonts w:ascii="Arial" w:hAnsi="Arial" w:cs="Arial"/>
              </w:rPr>
              <w:t>Aprobación</w:t>
            </w:r>
          </w:p>
        </w:tc>
        <w:tc>
          <w:tcPr>
            <w:tcW w:w="4584" w:type="dxa"/>
          </w:tcPr>
          <w:p w14:paraId="5F651EFF" w14:textId="6453E672" w:rsidR="00DE32AC" w:rsidRPr="006E4090" w:rsidRDefault="00385807" w:rsidP="00D42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5807">
              <w:rPr>
                <w:rFonts w:ascii="Arial" w:hAnsi="Arial" w:cs="Arial"/>
                <w:bCs/>
              </w:rPr>
              <w:t>Diego Mauricio Sánchez Ospina</w:t>
            </w:r>
          </w:p>
        </w:tc>
        <w:tc>
          <w:tcPr>
            <w:tcW w:w="2693" w:type="dxa"/>
          </w:tcPr>
          <w:p w14:paraId="4E1D20C7" w14:textId="6C9F94EB" w:rsidR="00DE32AC" w:rsidRPr="006E4090" w:rsidRDefault="006152D1" w:rsidP="00A41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6A7EC1">
              <w:rPr>
                <w:rFonts w:ascii="Arial" w:hAnsi="Arial" w:cs="Arial"/>
                <w:bCs/>
                <w:spacing w:val="-6"/>
                <w:lang w:val="es-CO"/>
              </w:rPr>
              <w:t>2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>6</w:t>
            </w:r>
            <w:r w:rsidRPr="006A7EC1">
              <w:rPr>
                <w:rFonts w:ascii="Arial" w:hAnsi="Arial" w:cs="Arial"/>
                <w:bCs/>
                <w:lang w:val="es-CO"/>
              </w:rPr>
              <w:t>/0</w:t>
            </w:r>
            <w:r>
              <w:rPr>
                <w:rFonts w:ascii="Arial" w:hAnsi="Arial" w:cs="Arial"/>
                <w:bCs/>
                <w:lang w:val="es-CO"/>
              </w:rPr>
              <w:t>7</w:t>
            </w:r>
            <w:r w:rsidRPr="006A7EC1">
              <w:rPr>
                <w:rFonts w:ascii="Arial" w:hAnsi="Arial" w:cs="Arial"/>
                <w:bCs/>
                <w:lang w:val="es-CO"/>
              </w:rPr>
              <w:t>/202</w:t>
            </w:r>
            <w:r>
              <w:rPr>
                <w:rFonts w:ascii="Arial" w:hAnsi="Arial" w:cs="Arial"/>
                <w:bCs/>
                <w:lang w:val="es-CO"/>
              </w:rPr>
              <w:t>2</w:t>
            </w:r>
          </w:p>
        </w:tc>
      </w:tr>
    </w:tbl>
    <w:p w14:paraId="23DE523C" w14:textId="77777777" w:rsidR="002E2962" w:rsidRPr="006E4090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6E4090" w:rsidSect="004A455A">
      <w:headerReference w:type="default" r:id="rId7"/>
      <w:footerReference w:type="default" r:id="rId8"/>
      <w:pgSz w:w="12240" w:h="15840" w:code="1"/>
      <w:pgMar w:top="1134" w:right="1134" w:bottom="1843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58F4" w14:textId="77777777" w:rsidR="00461F3C" w:rsidRDefault="00461F3C">
      <w:r>
        <w:separator/>
      </w:r>
    </w:p>
  </w:endnote>
  <w:endnote w:type="continuationSeparator" w:id="0">
    <w:p w14:paraId="5DAAA9BA" w14:textId="77777777" w:rsidR="00461F3C" w:rsidRDefault="004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4C92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EB6EAC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EB6EAC">
      <w:rPr>
        <w:rFonts w:ascii="Arial" w:hAnsi="Arial" w:cs="Arial"/>
        <w:noProof/>
        <w:sz w:val="15"/>
        <w:szCs w:val="20"/>
      </w:rPr>
      <w:t>7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52E56223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7547A01" w14:textId="77777777" w:rsidR="00C54253" w:rsidRDefault="00C542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1A9E8" w14:textId="77777777" w:rsidR="00461F3C" w:rsidRDefault="00461F3C">
      <w:r>
        <w:separator/>
      </w:r>
    </w:p>
  </w:footnote>
  <w:footnote w:type="continuationSeparator" w:id="0">
    <w:p w14:paraId="42E251B3" w14:textId="77777777" w:rsidR="00461F3C" w:rsidRDefault="0046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9E56" w14:textId="17A56E89" w:rsidR="00C54253" w:rsidRDefault="008B1F2C" w:rsidP="000131F8">
    <w:r>
      <w:rPr>
        <w:noProof/>
        <w:lang w:val="es-CO" w:eastAsia="es-CO"/>
      </w:rPr>
      <w:drawing>
        <wp:inline distT="0" distB="0" distL="0" distR="0" wp14:anchorId="408E427B" wp14:editId="7C0BFDAC">
          <wp:extent cx="2886075" cy="695325"/>
          <wp:effectExtent l="0" t="0" r="9525" b="9525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893651" cy="697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53D4B"/>
    <w:multiLevelType w:val="hybridMultilevel"/>
    <w:tmpl w:val="F23EEDD8"/>
    <w:lvl w:ilvl="0" w:tplc="22D6C12A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5"/>
  </w:num>
  <w:num w:numId="8">
    <w:abstractNumId w:val="30"/>
  </w:num>
  <w:num w:numId="9">
    <w:abstractNumId w:val="26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4"/>
  </w:num>
  <w:num w:numId="15">
    <w:abstractNumId w:val="21"/>
  </w:num>
  <w:num w:numId="16">
    <w:abstractNumId w:val="27"/>
  </w:num>
  <w:num w:numId="17">
    <w:abstractNumId w:val="15"/>
  </w:num>
  <w:num w:numId="18">
    <w:abstractNumId w:val="22"/>
  </w:num>
  <w:num w:numId="19">
    <w:abstractNumId w:val="31"/>
  </w:num>
  <w:num w:numId="20">
    <w:abstractNumId w:val="28"/>
  </w:num>
  <w:num w:numId="21">
    <w:abstractNumId w:val="14"/>
  </w:num>
  <w:num w:numId="22">
    <w:abstractNumId w:val="32"/>
  </w:num>
  <w:num w:numId="23">
    <w:abstractNumId w:val="6"/>
  </w:num>
  <w:num w:numId="24">
    <w:abstractNumId w:val="8"/>
  </w:num>
  <w:num w:numId="25">
    <w:abstractNumId w:val="2"/>
  </w:num>
  <w:num w:numId="26">
    <w:abstractNumId w:val="23"/>
  </w:num>
  <w:num w:numId="27">
    <w:abstractNumId w:val="19"/>
  </w:num>
  <w:num w:numId="28">
    <w:abstractNumId w:val="34"/>
  </w:num>
  <w:num w:numId="29">
    <w:abstractNumId w:val="11"/>
  </w:num>
  <w:num w:numId="30">
    <w:abstractNumId w:val="18"/>
  </w:num>
  <w:num w:numId="31">
    <w:abstractNumId w:val="16"/>
  </w:num>
  <w:num w:numId="32">
    <w:abstractNumId w:val="20"/>
  </w:num>
  <w:num w:numId="33">
    <w:abstractNumId w:val="33"/>
  </w:num>
  <w:num w:numId="34">
    <w:abstractNumId w:val="1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31F8"/>
    <w:rsid w:val="00016CCF"/>
    <w:rsid w:val="00021E72"/>
    <w:rsid w:val="00030EE6"/>
    <w:rsid w:val="00037911"/>
    <w:rsid w:val="00046F95"/>
    <w:rsid w:val="00051AB8"/>
    <w:rsid w:val="000620B2"/>
    <w:rsid w:val="000948D3"/>
    <w:rsid w:val="000953C0"/>
    <w:rsid w:val="00095D6E"/>
    <w:rsid w:val="00096576"/>
    <w:rsid w:val="000B2D17"/>
    <w:rsid w:val="000B6591"/>
    <w:rsid w:val="000C22B3"/>
    <w:rsid w:val="000C4F19"/>
    <w:rsid w:val="000C567E"/>
    <w:rsid w:val="000D0F7B"/>
    <w:rsid w:val="000D4DC5"/>
    <w:rsid w:val="000E3971"/>
    <w:rsid w:val="00103E2C"/>
    <w:rsid w:val="00106C77"/>
    <w:rsid w:val="001378F8"/>
    <w:rsid w:val="00140D19"/>
    <w:rsid w:val="00147149"/>
    <w:rsid w:val="001C2BBB"/>
    <w:rsid w:val="001C7E04"/>
    <w:rsid w:val="001D57FB"/>
    <w:rsid w:val="00232D8F"/>
    <w:rsid w:val="00280E64"/>
    <w:rsid w:val="0028565B"/>
    <w:rsid w:val="0029340E"/>
    <w:rsid w:val="002B28C7"/>
    <w:rsid w:val="002C6DDF"/>
    <w:rsid w:val="002E2962"/>
    <w:rsid w:val="00306486"/>
    <w:rsid w:val="00307CD4"/>
    <w:rsid w:val="00333824"/>
    <w:rsid w:val="00335766"/>
    <w:rsid w:val="00336027"/>
    <w:rsid w:val="00337C1E"/>
    <w:rsid w:val="0034284F"/>
    <w:rsid w:val="003648B1"/>
    <w:rsid w:val="00384823"/>
    <w:rsid w:val="00385807"/>
    <w:rsid w:val="003976DB"/>
    <w:rsid w:val="003D1082"/>
    <w:rsid w:val="003D3C4A"/>
    <w:rsid w:val="003D62A9"/>
    <w:rsid w:val="003E1891"/>
    <w:rsid w:val="003F0BF4"/>
    <w:rsid w:val="003F5CE7"/>
    <w:rsid w:val="00400FBA"/>
    <w:rsid w:val="00420871"/>
    <w:rsid w:val="0042794B"/>
    <w:rsid w:val="00461F3C"/>
    <w:rsid w:val="00466222"/>
    <w:rsid w:val="004A455A"/>
    <w:rsid w:val="004C6ABE"/>
    <w:rsid w:val="004C7914"/>
    <w:rsid w:val="004D7DB7"/>
    <w:rsid w:val="00507A02"/>
    <w:rsid w:val="00517A5E"/>
    <w:rsid w:val="00517DFE"/>
    <w:rsid w:val="005254C8"/>
    <w:rsid w:val="005257C7"/>
    <w:rsid w:val="0053205E"/>
    <w:rsid w:val="0054194A"/>
    <w:rsid w:val="00555947"/>
    <w:rsid w:val="00563B6D"/>
    <w:rsid w:val="00565B47"/>
    <w:rsid w:val="005663AA"/>
    <w:rsid w:val="005766F8"/>
    <w:rsid w:val="00580C72"/>
    <w:rsid w:val="00591156"/>
    <w:rsid w:val="005A60BB"/>
    <w:rsid w:val="005A72A4"/>
    <w:rsid w:val="005E0002"/>
    <w:rsid w:val="005F3D8F"/>
    <w:rsid w:val="00603E9D"/>
    <w:rsid w:val="006075CB"/>
    <w:rsid w:val="00613DBF"/>
    <w:rsid w:val="00615125"/>
    <w:rsid w:val="006152D1"/>
    <w:rsid w:val="0062147F"/>
    <w:rsid w:val="00630A23"/>
    <w:rsid w:val="00631D24"/>
    <w:rsid w:val="0065400C"/>
    <w:rsid w:val="00657012"/>
    <w:rsid w:val="006678CE"/>
    <w:rsid w:val="00673BA8"/>
    <w:rsid w:val="0067481B"/>
    <w:rsid w:val="006861AF"/>
    <w:rsid w:val="006A3753"/>
    <w:rsid w:val="006B6763"/>
    <w:rsid w:val="006E21C0"/>
    <w:rsid w:val="006E4090"/>
    <w:rsid w:val="006E4521"/>
    <w:rsid w:val="006F58DB"/>
    <w:rsid w:val="00713803"/>
    <w:rsid w:val="00714399"/>
    <w:rsid w:val="0076098E"/>
    <w:rsid w:val="00774C88"/>
    <w:rsid w:val="00791F7F"/>
    <w:rsid w:val="007B2945"/>
    <w:rsid w:val="007B6EFB"/>
    <w:rsid w:val="007D115F"/>
    <w:rsid w:val="007E5BC5"/>
    <w:rsid w:val="007F22D6"/>
    <w:rsid w:val="0080152A"/>
    <w:rsid w:val="00803EF0"/>
    <w:rsid w:val="00804CA3"/>
    <w:rsid w:val="008173A9"/>
    <w:rsid w:val="0082261F"/>
    <w:rsid w:val="008405EE"/>
    <w:rsid w:val="00841F15"/>
    <w:rsid w:val="00855B04"/>
    <w:rsid w:val="0086373C"/>
    <w:rsid w:val="00867F09"/>
    <w:rsid w:val="00877F32"/>
    <w:rsid w:val="008A6F02"/>
    <w:rsid w:val="008B1F2C"/>
    <w:rsid w:val="008B52F4"/>
    <w:rsid w:val="008B7407"/>
    <w:rsid w:val="008C123F"/>
    <w:rsid w:val="008C2753"/>
    <w:rsid w:val="008C37A6"/>
    <w:rsid w:val="008E6283"/>
    <w:rsid w:val="008F7C3E"/>
    <w:rsid w:val="00914E2A"/>
    <w:rsid w:val="0091747C"/>
    <w:rsid w:val="00920DDE"/>
    <w:rsid w:val="00930A0A"/>
    <w:rsid w:val="00937231"/>
    <w:rsid w:val="009537FF"/>
    <w:rsid w:val="00976332"/>
    <w:rsid w:val="00982471"/>
    <w:rsid w:val="009867DD"/>
    <w:rsid w:val="00996012"/>
    <w:rsid w:val="009E340C"/>
    <w:rsid w:val="009F4153"/>
    <w:rsid w:val="00A415AC"/>
    <w:rsid w:val="00A52BAF"/>
    <w:rsid w:val="00A557E6"/>
    <w:rsid w:val="00A71D8D"/>
    <w:rsid w:val="00A73431"/>
    <w:rsid w:val="00A74264"/>
    <w:rsid w:val="00A75891"/>
    <w:rsid w:val="00AB4793"/>
    <w:rsid w:val="00B13EE1"/>
    <w:rsid w:val="00B206E7"/>
    <w:rsid w:val="00B318C5"/>
    <w:rsid w:val="00B32037"/>
    <w:rsid w:val="00B42AC3"/>
    <w:rsid w:val="00B52267"/>
    <w:rsid w:val="00B576D0"/>
    <w:rsid w:val="00B73802"/>
    <w:rsid w:val="00B90AC6"/>
    <w:rsid w:val="00BA04CB"/>
    <w:rsid w:val="00BA73DC"/>
    <w:rsid w:val="00BE1F68"/>
    <w:rsid w:val="00BE2D94"/>
    <w:rsid w:val="00BE5C61"/>
    <w:rsid w:val="00C056EE"/>
    <w:rsid w:val="00C10270"/>
    <w:rsid w:val="00C41A81"/>
    <w:rsid w:val="00C454C0"/>
    <w:rsid w:val="00C51332"/>
    <w:rsid w:val="00C54253"/>
    <w:rsid w:val="00C54B3B"/>
    <w:rsid w:val="00C83A60"/>
    <w:rsid w:val="00C84155"/>
    <w:rsid w:val="00C9789A"/>
    <w:rsid w:val="00CC60FD"/>
    <w:rsid w:val="00CD1318"/>
    <w:rsid w:val="00CE1DA4"/>
    <w:rsid w:val="00D21133"/>
    <w:rsid w:val="00D23EFF"/>
    <w:rsid w:val="00D33FDD"/>
    <w:rsid w:val="00D92232"/>
    <w:rsid w:val="00D95966"/>
    <w:rsid w:val="00DC09BC"/>
    <w:rsid w:val="00DD47C2"/>
    <w:rsid w:val="00DE32AC"/>
    <w:rsid w:val="00DF09AD"/>
    <w:rsid w:val="00E06372"/>
    <w:rsid w:val="00E1210E"/>
    <w:rsid w:val="00E16F24"/>
    <w:rsid w:val="00E21CC0"/>
    <w:rsid w:val="00E232BC"/>
    <w:rsid w:val="00E27245"/>
    <w:rsid w:val="00E37112"/>
    <w:rsid w:val="00E37966"/>
    <w:rsid w:val="00E52469"/>
    <w:rsid w:val="00E6751B"/>
    <w:rsid w:val="00E70233"/>
    <w:rsid w:val="00E70CF8"/>
    <w:rsid w:val="00E7247D"/>
    <w:rsid w:val="00E73858"/>
    <w:rsid w:val="00EB0E97"/>
    <w:rsid w:val="00EB6EAC"/>
    <w:rsid w:val="00EF45FD"/>
    <w:rsid w:val="00F14E74"/>
    <w:rsid w:val="00F24582"/>
    <w:rsid w:val="00F302B6"/>
    <w:rsid w:val="00F32600"/>
    <w:rsid w:val="00F376A3"/>
    <w:rsid w:val="00F4063F"/>
    <w:rsid w:val="00F42DCF"/>
    <w:rsid w:val="00F515D5"/>
    <w:rsid w:val="00F75562"/>
    <w:rsid w:val="00F7743C"/>
    <w:rsid w:val="00F84671"/>
    <w:rsid w:val="00FA5A34"/>
    <w:rsid w:val="00FC15F5"/>
    <w:rsid w:val="00FE34BD"/>
    <w:rsid w:val="00FE433A"/>
    <w:rsid w:val="02825468"/>
    <w:rsid w:val="665A9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2A3B9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0131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F84671"/>
    <w:pPr>
      <w:widowControl w:val="0"/>
      <w:suppressAutoHyphens/>
      <w:textAlignment w:val="baseline"/>
    </w:pPr>
    <w:rPr>
      <w:rFonts w:eastAsia="Arial"/>
      <w:i/>
      <w:iCs/>
      <w:kern w:val="1"/>
      <w:sz w:val="24"/>
      <w:szCs w:val="24"/>
      <w:lang w:eastAsia="zh-CN" w:bidi="hi-IN"/>
    </w:rPr>
  </w:style>
  <w:style w:type="character" w:customStyle="1" w:styleId="normaltextrun">
    <w:name w:val="normaltextrun"/>
    <w:basedOn w:val="Fuentedeprrafopredeter"/>
    <w:rsid w:val="00FE34BD"/>
  </w:style>
  <w:style w:type="character" w:customStyle="1" w:styleId="Ttulo2Car">
    <w:name w:val="Título 2 Car"/>
    <w:basedOn w:val="Fuentedeprrafopredeter"/>
    <w:link w:val="Ttulo2"/>
    <w:rsid w:val="00B52267"/>
    <w:rPr>
      <w:rFonts w:ascii="Arial" w:hAnsi="Arial" w:cs="Arial"/>
      <w:b/>
      <w:szCs w:val="24"/>
      <w:lang w:val="es-ES_tradnl" w:eastAsia="es-ES"/>
    </w:rPr>
  </w:style>
  <w:style w:type="table" w:styleId="Tablaconcuadrcula4-nfasis5">
    <w:name w:val="Grid Table 4 Accent 5"/>
    <w:basedOn w:val="Tablanormal"/>
    <w:uiPriority w:val="49"/>
    <w:rsid w:val="00B5226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3</cp:revision>
  <cp:lastPrinted>2010-11-02T20:20:00Z</cp:lastPrinted>
  <dcterms:created xsi:type="dcterms:W3CDTF">2022-12-22T12:42:00Z</dcterms:created>
  <dcterms:modified xsi:type="dcterms:W3CDTF">2022-12-22T12:45:00Z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